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Data Summary Report</w:t>
      </w:r>
    </w:p>
    <w:p>
      <w:pPr>
        <w:spacing w:after="100"/>
        <w:jc w:val="center"/>
      </w:pPr>
      <w:r>
        <w:rPr>
          <w:i/>
          <w:iCs/>
          <w:color w:val="444444"/>
          <w:sz w:val="22"/>
          <w:szCs w:val="22"/>
        </w:rPr>
        <w:t xml:space="preserve">Global Air Pollution Dataset — Cleaning, Exploration, and Insights</w:t>
      </w:r>
    </w:p>
    <w:p>
      <w:pPr>
        <w:spacing w:after="400"/>
        <w:jc w:val="center"/>
      </w:pPr>
      <w:r>
        <w:rPr>
          <w:color w:val="666666"/>
          <w:sz w:val="20"/>
          <w:szCs w:val="20"/>
        </w:rPr>
        <w:t xml:space="preserve">Prepared by Suhana  |  MSc Computer Science (Data Analytics)  |  25 July 2026</w:t>
      </w:r>
    </w:p>
    <w:p>
      <w:pPr>
        <w:pStyle w:val="Heading1"/>
        <w:spacing w:after="150" w:before="300"/>
      </w:pPr>
      <w:r>
        <w:t xml:space="preserve">1. Dataset Overview</w:t>
      </w:r>
    </w:p>
    <w:p>
      <w:pPr>
        <w:spacing w:after="150"/>
      </w:pPr>
      <w:r>
        <w:rPr>
          <w:sz w:val="22"/>
          <w:szCs w:val="22"/>
        </w:rPr>
        <w:t xml:space="preserve">This dataset records city-level air quality measurements for 23,463 cities across 175 countries, sourced from a global air pollution monitoring compilation. Its purpose is to enable comparison of air quality across regions using the standard Air Quality Index (AQI) framework, so that pollution severity can be assessed and compared consistently worldwide.</w:t>
      </w:r>
    </w:p>
    <w:p>
      <w:pPr>
        <w:spacing w:after="150"/>
      </w:pPr>
      <w:r>
        <w:rPr>
          <w:sz w:val="22"/>
          <w:szCs w:val="22"/>
        </w:rPr>
        <w:t xml:space="preserve">The dataset contains 12 columns: Country and City (location identifiers); AQI Value and AQI Category (the composite air quality score and its severity label); and four pollutant-specific pairs — CO, Ozone, NO2, and PM2.5 — each reported as an AQI Value (numeric, 0–500) and a corresponding AQI Category (Good, Moderate, Unhealthy for Sensitive Groups, Unhealthy, Very Unhealthy, or Hazardous).</w:t>
      </w:r>
    </w:p>
    <w:p>
      <w:pPr>
        <w:pStyle w:val="Heading1"/>
        <w:spacing w:after="150" w:before="300"/>
      </w:pPr>
      <w:r>
        <w:t xml:space="preserve">2. Data Cleaning Process</w:t>
      </w:r>
    </w:p>
    <w:p>
      <w:pPr>
        <w:spacing w:after="150"/>
      </w:pPr>
      <w:r>
        <w:rPr>
          <w:sz w:val="22"/>
          <w:szCs w:val="22"/>
        </w:rPr>
        <w:t xml:space="preserve">Before cleaning, the dataset was inspected column-by-column for missing values, duplicate records, and inconsistent formatting. The table below summarises every finding and the corresponding action taken.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F4E78" w:val="clear"/>
          </w:tcPr>
          <w:p>
            <w:r>
              <w:rPr>
                <w:b/>
                <w:bCs/>
                <w:color w:val="FFFFFF"/>
                <w:sz w:val="20"/>
                <w:szCs w:val="20"/>
              </w:rPr>
              <w:t xml:space="preserve">Issue</w:t>
            </w:r>
          </w:p>
        </w:tc>
        <w:tc>
          <w:tcPr>
            <w:tcW w:type="pct" w:w="35%"/>
            <w:shd w:fill="1F4E78" w:val="clear"/>
          </w:tcPr>
          <w:p>
            <w:r>
              <w:rPr>
                <w:b/>
                <w:bCs/>
                <w:color w:val="FFFFFF"/>
                <w:sz w:val="20"/>
                <w:szCs w:val="20"/>
              </w:rPr>
              <w:t xml:space="preserve">Finding</w:t>
            </w:r>
          </w:p>
        </w:tc>
        <w:tc>
          <w:tcPr>
            <w:tcW w:type="pct" w:w="40%"/>
            <w:shd w:fill="1F4E78" w:val="clear"/>
          </w:tcPr>
          <w:p>
            <w:r>
              <w:rPr>
                <w:b/>
                <w:bCs/>
                <w:color w:val="FFFFFF"/>
                <w:sz w:val="20"/>
                <w:szCs w:val="20"/>
              </w:rPr>
              <w:t xml:space="preserve">Action Taken</w:t>
            </w:r>
          </w:p>
        </w:tc>
      </w:tr>
      <w:tr>
        <w:tc>
          <w:tcPr>
            <w:tcW w:type="pct" w:w="25%"/>
          </w:tcPr>
          <w:p>
            <w:r>
              <w:rPr>
                <w:b w:val="false"/>
                <w:bCs w:val="false"/>
                <w:color w:val="000000"/>
                <w:sz w:val="20"/>
                <w:szCs w:val="20"/>
              </w:rPr>
              <w:t xml:space="preserve">Full-row duplicates</w:t>
            </w:r>
          </w:p>
        </w:tc>
        <w:tc>
          <w:tcPr>
            <w:tcW w:type="pct" w:w="25%"/>
          </w:tcPr>
          <w:p>
            <w:r>
              <w:rPr>
                <w:b w:val="false"/>
                <w:bCs w:val="false"/>
                <w:color w:val="000000"/>
                <w:sz w:val="20"/>
                <w:szCs w:val="20"/>
              </w:rPr>
              <w:t xml:space="preserve">0 duplicate rows found</w:t>
            </w:r>
          </w:p>
        </w:tc>
        <w:tc>
          <w:tcPr>
            <w:tcW w:type="pct" w:w="25%"/>
          </w:tcPr>
          <w:p>
            <w:r>
              <w:rPr>
                <w:b w:val="false"/>
                <w:bCs w:val="false"/>
                <w:color w:val="000000"/>
                <w:sz w:val="20"/>
                <w:szCs w:val="20"/>
              </w:rPr>
              <w:t xml:space="preserve">None removed — zero duplicates identified</w:t>
            </w:r>
          </w:p>
        </w:tc>
      </w:tr>
      <w:tr>
        <w:tc>
          <w:tcPr>
            <w:tcW w:type="pct" w:w="25%"/>
          </w:tcPr>
          <w:p>
            <w:r>
              <w:rPr>
                <w:b w:val="false"/>
                <w:bCs w:val="false"/>
                <w:color w:val="000000"/>
                <w:sz w:val="20"/>
                <w:szCs w:val="20"/>
              </w:rPr>
              <w:t xml:space="preserve">Missing values — City</w:t>
            </w:r>
          </w:p>
        </w:tc>
        <w:tc>
          <w:tcPr>
            <w:tcW w:type="pct" w:w="25%"/>
          </w:tcPr>
          <w:p>
            <w:r>
              <w:rPr>
                <w:b w:val="false"/>
                <w:bCs w:val="false"/>
                <w:color w:val="000000"/>
                <w:sz w:val="20"/>
                <w:szCs w:val="20"/>
              </w:rPr>
              <w:t xml:space="preserve">1 missing value (0.004% of rows)</w:t>
            </w:r>
          </w:p>
        </w:tc>
        <w:tc>
          <w:tcPr>
            <w:tcW w:type="pct" w:w="25%"/>
          </w:tcPr>
          <w:p>
            <w:r>
              <w:rPr>
                <w:b w:val="false"/>
                <w:bCs w:val="false"/>
                <w:color w:val="000000"/>
                <w:sz w:val="20"/>
                <w:szCs w:val="20"/>
              </w:rPr>
              <w:t xml:space="preserve">Row dropped: City is a unique record identifier; imputing a name would fabricate data, and the loss is negligible</w:t>
            </w:r>
          </w:p>
        </w:tc>
      </w:tr>
      <w:tr>
        <w:tc>
          <w:tcPr>
            <w:tcW w:type="pct" w:w="25%"/>
          </w:tcPr>
          <w:p>
            <w:r>
              <w:rPr>
                <w:b w:val="false"/>
                <w:bCs w:val="false"/>
                <w:color w:val="000000"/>
                <w:sz w:val="20"/>
                <w:szCs w:val="20"/>
              </w:rPr>
              <w:t xml:space="preserve">Missing values — Country</w:t>
            </w:r>
          </w:p>
        </w:tc>
        <w:tc>
          <w:tcPr>
            <w:tcW w:type="pct" w:w="25%"/>
          </w:tcPr>
          <w:p>
            <w:r>
              <w:rPr>
                <w:b w:val="false"/>
                <w:bCs w:val="false"/>
                <w:color w:val="000000"/>
                <w:sz w:val="20"/>
                <w:szCs w:val="20"/>
              </w:rPr>
              <w:t xml:space="preserve">427 missing values (1.82% of rows)</w:t>
            </w:r>
          </w:p>
        </w:tc>
        <w:tc>
          <w:tcPr>
            <w:tcW w:type="pct" w:w="25%"/>
          </w:tcPr>
          <w:p>
            <w:r>
              <w:rPr>
                <w:b w:val="false"/>
                <w:bCs w:val="false"/>
                <w:color w:val="000000"/>
                <w:sz w:val="20"/>
                <w:szCs w:val="20"/>
              </w:rPr>
              <w:t xml:space="preserve">Filled with the label "Unknown" — the AQI measurements in these rows are complete and valid, so dropping them would discard genuine pollution data; assigning a real country without evidence would fabricate information</w:t>
            </w:r>
          </w:p>
        </w:tc>
      </w:tr>
      <w:tr>
        <w:tc>
          <w:tcPr>
            <w:tcW w:type="pct" w:w="25%"/>
          </w:tcPr>
          <w:p>
            <w:r>
              <w:rPr>
                <w:b w:val="false"/>
                <w:bCs w:val="false"/>
                <w:color w:val="000000"/>
                <w:sz w:val="20"/>
                <w:szCs w:val="20"/>
              </w:rPr>
              <w:t xml:space="preserve">Whitespace / text formatting</w:t>
            </w:r>
          </w:p>
        </w:tc>
        <w:tc>
          <w:tcPr>
            <w:tcW w:type="pct" w:w="25%"/>
          </w:tcPr>
          <w:p>
            <w:r>
              <w:rPr>
                <w:b w:val="false"/>
                <w:bCs w:val="false"/>
                <w:color w:val="000000"/>
                <w:sz w:val="20"/>
                <w:szCs w:val="20"/>
              </w:rPr>
              <w:t xml:space="preserve">0 issues found in Country / City fields</w:t>
            </w:r>
          </w:p>
        </w:tc>
        <w:tc>
          <w:tcPr>
            <w:tcW w:type="pct" w:w="25%"/>
          </w:tcPr>
          <w:p>
            <w:r>
              <w:rPr>
                <w:b w:val="false"/>
                <w:bCs w:val="false"/>
                <w:color w:val="000000"/>
                <w:sz w:val="20"/>
                <w:szCs w:val="20"/>
              </w:rPr>
              <w:t xml:space="preserve">None found — no standardization required</w:t>
            </w:r>
          </w:p>
        </w:tc>
      </w:tr>
      <w:tr>
        <w:tc>
          <w:tcPr>
            <w:tcW w:type="pct" w:w="25%"/>
          </w:tcPr>
          <w:p>
            <w:r>
              <w:rPr>
                <w:b w:val="false"/>
                <w:bCs w:val="false"/>
                <w:color w:val="000000"/>
                <w:sz w:val="20"/>
                <w:szCs w:val="20"/>
              </w:rPr>
              <w:t xml:space="preserve">Category label consistency</w:t>
            </w:r>
          </w:p>
        </w:tc>
        <w:tc>
          <w:tcPr>
            <w:tcW w:type="pct" w:w="25%"/>
          </w:tcPr>
          <w:p>
            <w:r>
              <w:rPr>
                <w:b w:val="false"/>
                <w:bCs w:val="false"/>
                <w:color w:val="000000"/>
                <w:sz w:val="20"/>
                <w:szCs w:val="20"/>
              </w:rPr>
              <w:t xml:space="preserve">All 6 category columns use a single consistent label set</w:t>
            </w:r>
          </w:p>
        </w:tc>
        <w:tc>
          <w:tcPr>
            <w:tcW w:type="pct" w:w="25%"/>
          </w:tcPr>
          <w:p>
            <w:r>
              <w:rPr>
                <w:b w:val="false"/>
                <w:bCs w:val="false"/>
                <w:color w:val="000000"/>
                <w:sz w:val="20"/>
                <w:szCs w:val="20"/>
              </w:rPr>
              <w:t xml:space="preserve">None found — no standardization required</w:t>
            </w:r>
          </w:p>
        </w:tc>
      </w:tr>
      <w:tr>
        <w:tc>
          <w:tcPr>
            <w:tcW w:type="pct" w:w="25%"/>
          </w:tcPr>
          <w:p>
            <w:r>
              <w:rPr>
                <w:b w:val="false"/>
                <w:bCs w:val="false"/>
                <w:color w:val="000000"/>
                <w:sz w:val="20"/>
                <w:szCs w:val="20"/>
              </w:rPr>
              <w:t xml:space="preserve">Negative / invalid numeric values</w:t>
            </w:r>
          </w:p>
        </w:tc>
        <w:tc>
          <w:tcPr>
            <w:tcW w:type="pct" w:w="25%"/>
          </w:tcPr>
          <w:p>
            <w:r>
              <w:rPr>
                <w:b w:val="false"/>
                <w:bCs w:val="false"/>
                <w:color w:val="000000"/>
                <w:sz w:val="20"/>
                <w:szCs w:val="20"/>
              </w:rPr>
              <w:t xml:space="preserve">0 found across all 5 AQI value columns</w:t>
            </w:r>
          </w:p>
        </w:tc>
        <w:tc>
          <w:tcPr>
            <w:tcW w:type="pct" w:w="25%"/>
          </w:tcPr>
          <w:p>
            <w:r>
              <w:rPr>
                <w:b w:val="false"/>
                <w:bCs w:val="false"/>
                <w:color w:val="000000"/>
                <w:sz w:val="20"/>
                <w:szCs w:val="20"/>
              </w:rPr>
              <w:t xml:space="preserve">None found — no correction required</w:t>
            </w:r>
          </w:p>
        </w:tc>
      </w:tr>
    </w:tbl>
    <w:p>
      <w:pPr>
        <w:spacing w:after="150"/>
      </w:pPr>
    </w:p>
    <w:p>
      <w:pPr>
        <w:spacing w:after="150"/>
      </w:pPr>
      <w:r>
        <w:rPr>
          <w:sz w:val="22"/>
          <w:szCs w:val="22"/>
        </w:rPr>
        <w:t xml:space="preserve">Net effect: 1 row was removed and 427 Country values were relabelled, reducing the dataset from 23,463 to 23,462 rows while preserving all valid pollutant measurements.</w:t>
      </w:r>
    </w:p>
    <w:p>
      <w:pPr>
        <w:pStyle w:val="Heading1"/>
        <w:spacing w:after="150" w:before="300"/>
      </w:pPr>
      <w:r>
        <w:t xml:space="preserve">3. Three Key Trends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1F4E78" w:val="clear"/>
          </w:tcPr>
          <w:p>
            <w:r>
              <w:rPr>
                <w:b/>
                <w:bCs/>
                <w:color w:val="FFFFFF"/>
                <w:sz w:val="20"/>
                <w:szCs w:val="20"/>
              </w:rPr>
              <w:t xml:space="preserve">#</w:t>
            </w:r>
          </w:p>
        </w:tc>
        <w:tc>
          <w:tcPr>
            <w:tcW w:type="pct" w:w="94%"/>
            <w:shd w:fill="1F4E78" w:val="clear"/>
          </w:tcPr>
          <w:p>
            <w:r>
              <w:rPr>
                <w:b/>
                <w:bCs/>
                <w:color w:val="FFFFFF"/>
                <w:sz w:val="20"/>
                <w:szCs w:val="20"/>
              </w:rPr>
              <w:t xml:space="preserve">Observation</w:t>
            </w:r>
          </w:p>
        </w:tc>
      </w:tr>
      <w:tr>
        <w:tc>
          <w:tcPr>
            <w:tcW w:type="pct" w:w="6%"/>
          </w:tcPr>
          <w:p>
            <w:r>
              <w:rPr>
                <w:b w:val="false"/>
                <w:bCs w:val="false"/>
                <w:color w:val="000000"/>
                <w:sz w:val="20"/>
                <w:szCs w:val="20"/>
              </w:rPr>
              <w:t xml:space="preserve">1</w:t>
            </w:r>
          </w:p>
        </w:tc>
        <w:tc>
          <w:tcPr>
            <w:tcW w:type="pct" w:w="94%"/>
          </w:tcPr>
          <w:p>
            <w:r>
              <w:rPr>
                <w:b w:val="false"/>
                <w:bCs w:val="false"/>
                <w:color w:val="000000"/>
                <w:sz w:val="20"/>
                <w:szCs w:val="20"/>
              </w:rPr>
              <w:t xml:space="preserve">PM2.5 is the dominant driver of overall air quality: PM2.5 AQI Value correlates with the overall AQI Value at r ≈ 0.98, far higher than CO (r ≈ 0.43), Ozone (r ≈ 0.41), or NO2 (r ≈ 0.23) — meaning particulate matter, not gaseous pollutants, determines most cities' AQI rating.</w:t>
            </w:r>
          </w:p>
        </w:tc>
      </w:tr>
      <w:tr>
        <w:tc>
          <w:tcPr>
            <w:tcW w:type="pct" w:w="6%"/>
          </w:tcPr>
          <w:p>
            <w:r>
              <w:rPr>
                <w:b w:val="false"/>
                <w:bCs w:val="false"/>
                <w:color w:val="000000"/>
                <w:sz w:val="20"/>
                <w:szCs w:val="20"/>
              </w:rPr>
              <w:t xml:space="preserve">2</w:t>
            </w:r>
          </w:p>
        </w:tc>
        <w:tc>
          <w:tcPr>
            <w:tcW w:type="pct" w:w="94%"/>
          </w:tcPr>
          <w:p>
            <w:r>
              <w:rPr>
                <w:b w:val="false"/>
                <w:bCs w:val="false"/>
                <w:color w:val="000000"/>
                <w:sz w:val="20"/>
                <w:szCs w:val="20"/>
              </w:rPr>
              <w:t xml:space="preserve">Air quality is strongly regionalised: among countries with at least 20 monitored cities, Pakistan (mean AQI 178.8), India (153.0), Senegal (152.4), and China (127.0) show the highest average AQI, while Bolivia (23.8), Uruguay (26.7), and Argentina (28.2) show the lowest — a gap of over 150 points between the most and least polluted country averages.</w:t>
            </w:r>
          </w:p>
        </w:tc>
      </w:tr>
      <w:tr>
        <w:tc>
          <w:tcPr>
            <w:tcW w:type="pct" w:w="6%"/>
          </w:tcPr>
          <w:p>
            <w:r>
              <w:rPr>
                <w:b w:val="false"/>
                <w:bCs w:val="false"/>
                <w:color w:val="000000"/>
                <w:sz w:val="20"/>
                <w:szCs w:val="20"/>
              </w:rPr>
              <w:t xml:space="preserve">3</w:t>
            </w:r>
          </w:p>
        </w:tc>
        <w:tc>
          <w:tcPr>
            <w:tcW w:type="pct" w:w="94%"/>
          </w:tcPr>
          <w:p>
            <w:r>
              <w:rPr>
                <w:b w:val="false"/>
                <w:bCs w:val="false"/>
                <w:color w:val="000000"/>
                <w:sz w:val="20"/>
                <w:szCs w:val="20"/>
              </w:rPr>
              <w:t xml:space="preserve">Most monitored cities report acceptable air quality: 81.7% of cities fall into the "Good" (9,936 cities) or "Moderate" (9,231 cities) categories, while only 2.0% (478 cities) fall into "Very Unhealthy" or "Hazardous" — pollution severity is concentrated in a relatively small share of locations rather than being evenly spread.</w:t>
            </w:r>
          </w:p>
        </w:tc>
      </w:tr>
    </w:tbl>
    <w:p>
      <w:pPr>
        <w:pStyle w:val="Heading1"/>
        <w:spacing w:after="150" w:before="300"/>
      </w:pPr>
      <w:r>
        <w:t xml:space="preserve">4. Two Anomalies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1F4E78" w:val="clear"/>
          </w:tcPr>
          <w:p>
            <w:r>
              <w:rPr>
                <w:b/>
                <w:bCs/>
                <w:color w:val="FFFFFF"/>
                <w:sz w:val="20"/>
                <w:szCs w:val="20"/>
              </w:rPr>
              <w:t xml:space="preserve">#</w:t>
            </w:r>
          </w:p>
        </w:tc>
        <w:tc>
          <w:tcPr>
            <w:tcW w:type="pct" w:w="94%"/>
            <w:shd w:fill="1F4E78" w:val="clear"/>
          </w:tcPr>
          <w:p>
            <w:r>
              <w:rPr>
                <w:b/>
                <w:bCs/>
                <w:color w:val="FFFFFF"/>
                <w:sz w:val="20"/>
                <w:szCs w:val="20"/>
              </w:rPr>
              <w:t xml:space="preserve">Observation</w:t>
            </w:r>
          </w:p>
        </w:tc>
      </w:tr>
      <w:tr>
        <w:tc>
          <w:tcPr>
            <w:tcW w:type="pct" w:w="6%"/>
          </w:tcPr>
          <w:p>
            <w:r>
              <w:rPr>
                <w:b w:val="false"/>
                <w:bCs w:val="false"/>
                <w:color w:val="000000"/>
                <w:sz w:val="20"/>
                <w:szCs w:val="20"/>
              </w:rPr>
              <w:t xml:space="preserve">1</w:t>
            </w:r>
          </w:p>
        </w:tc>
        <w:tc>
          <w:tcPr>
            <w:tcW w:type="pct" w:w="94%"/>
          </w:tcPr>
          <w:p>
            <w:r>
              <w:rPr>
                <w:b w:val="false"/>
                <w:bCs w:val="false"/>
                <w:color w:val="000000"/>
                <w:sz w:val="20"/>
                <w:szCs w:val="20"/>
              </w:rPr>
              <w:t xml:space="preserve">Seoul, Republic of Korea is the only city representing its country in the dataset, and it records an AQI of 421 ("Hazardous") with a PM2.5 AQI of 415 — far above the East Asian regional pattern implied by neighbouring large-sample countries such as China (mean 127.0). Because it is a single-city sample, it disproportionately defines its country's average and should not be read as representative of national air quality.</w:t>
            </w:r>
          </w:p>
        </w:tc>
      </w:tr>
      <w:tr>
        <w:tc>
          <w:tcPr>
            <w:tcW w:type="pct" w:w="6%"/>
          </w:tcPr>
          <w:p>
            <w:r>
              <w:rPr>
                <w:b w:val="false"/>
                <w:bCs w:val="false"/>
                <w:color w:val="000000"/>
                <w:sz w:val="20"/>
                <w:szCs w:val="20"/>
              </w:rPr>
              <w:t xml:space="preserve">2</w:t>
            </w:r>
          </w:p>
        </w:tc>
        <w:tc>
          <w:tcPr>
            <w:tcW w:type="pct" w:w="94%"/>
          </w:tcPr>
          <w:p>
            <w:r>
              <w:rPr>
                <w:b w:val="false"/>
                <w:bCs w:val="false"/>
                <w:color w:val="000000"/>
                <w:sz w:val="20"/>
                <w:szCs w:val="20"/>
              </w:rPr>
              <w:t xml:space="preserve">148 rows (0.63% of the cleaned dataset) carry an AQI Category label that does not match the standard EPA AQI breakpoints applied to their AQI Value — for example, 95 rows with AQI Value = 150 are labelled "Unhealthy" rather than "Unhealthy for Sensitive Groups", and 52 rows with AQI Value = 100 are labelled "Unhealthy for Sensitive Groups" rather than "Moderate". All mismatches occur exactly at category boundary values (100, 150, 300), indicating the source data uses a different inclusive/exclusive boundary convention rather than random data entry error.</w:t>
            </w:r>
          </w:p>
        </w:tc>
      </w:tr>
    </w:tbl>
    <w:p>
      <w:pPr>
        <w:pStyle w:val="Heading1"/>
        <w:spacing w:after="150" w:before="300"/>
      </w:pPr>
      <w:r>
        <w:t xml:space="preserve">5. Assumptions</w:t>
      </w:r>
    </w:p>
    <w:p>
      <w:pPr>
        <w:pStyle w:val="ListParagraph"/>
        <w:numPr>
          <w:ilvl w:val="0"/>
          <w:numId w:val="1"/>
        </w:numPr>
        <w:spacing w:after="60"/>
      </w:pPr>
      <w:r>
        <w:t xml:space="preserve">Missing Country values (427 rows) were assumed to be genuinely unrecorded rather than erroneous, and were labelled "Unknown" rather than inferred from city name, since no reliable city-to-country reference was used in this exercise.</w:t>
      </w:r>
    </w:p>
    <w:p>
      <w:pPr>
        <w:pStyle w:val="ListParagraph"/>
        <w:numPr>
          <w:ilvl w:val="0"/>
          <w:numId w:val="1"/>
        </w:numPr>
        <w:spacing w:after="60"/>
      </w:pPr>
      <w:r>
        <w:t xml:space="preserve">The single row with a missing City value was assumed non-essential to retain, given it represents 0.004% of records and City functions as a unique identifier rather than a measurable variable.</w:t>
      </w:r>
    </w:p>
    <w:p>
      <w:pPr>
        <w:pStyle w:val="ListParagraph"/>
        <w:numPr>
          <w:ilvl w:val="0"/>
          <w:numId w:val="1"/>
        </w:numPr>
        <w:spacing w:after="60"/>
      </w:pPr>
      <w:r>
        <w:t xml:space="preserve">Boundary mismatches between AQI Value and AQI Category (Section 4) were assumed to reflect a rounding/boundary convention in the source data rather than data corruption, and were therefore left unmodified rather than reassigned, to avoid altering original source labels without confirmation of the intended convention.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Assignment 2A — Global Air Pollution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2026-07-25T10:57:05.217Z</dcterms:created>
  <dcterms:modified xsi:type="dcterms:W3CDTF">2026-07-25T10:57:05.217Z</dcterms:modified>
</cp:coreProperties>
</file>

<file path=docProps/custom.xml><?xml version="1.0" encoding="utf-8"?>
<Properties xmlns="http://schemas.openxmlformats.org/officeDocument/2006/custom-properties" xmlns:vt="http://schemas.openxmlformats.org/officeDocument/2006/docPropsVTypes"/>
</file>