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8"/>
          <w:sz w:val="48"/>
        </w:rPr>
        <w:t>Sickle Cell Disease Transcriptomics Pipeline</w:t>
      </w:r>
    </w:p>
    <w:p>
      <w:pPr>
        <w:spacing w:after="280"/>
      </w:pPr>
      <w:r>
        <w:rPr>
          <w:rFonts w:ascii="Calibri" w:hAnsi="Calibri"/>
          <w:color w:val="64748B"/>
          <w:sz w:val="26"/>
        </w:rPr>
        <w:t>Technical Specification &amp; Parameters Summary (Phase 1 Analysis)</w:t>
      </w:r>
    </w:p>
    <w:p>
      <w:pPr>
        <w:spacing w:before="240" w:after="80"/>
      </w:pPr>
      <w:r>
        <w:rPr>
          <w:rFonts w:ascii="Calibri" w:hAnsi="Calibri"/>
          <w:b/>
          <w:color w:val="1F4E78"/>
          <w:sz w:val="26"/>
        </w:rPr>
        <w:t>Executive Summary Table: Key Pipeline Parameters</w:t>
      </w:r>
    </w:p>
    <w:tbl>
      <w:tblPr>
        <w:tblW w:type="auto" w:w="0"/>
        <w:jc w:val="center"/>
        <w:tblLayout w:type="fixed"/>
        <w:tblLook w:firstColumn="1" w:firstRow="1" w:lastColumn="0" w:lastRow="0" w:noHBand="0" w:noVBand="1" w:val="04A0"/>
      </w:tblPr>
      <w:tblGrid>
        <w:gridCol w:w="3168"/>
        <w:gridCol w:w="6192"/>
      </w:tblGrid>
      <w:tr>
        <w:tc>
          <w:tcPr>
            <w:tcW w:type="dxa" w:w="4680"/>
            <w:shd w:fill="1F4E78"/>
          </w:tcPr>
          <w:p>
            <w:pPr>
              <w:jc w:val="left"/>
            </w:pPr>
            <w:r>
              <w:rPr>
                <w:rFonts w:ascii="Calibri" w:hAnsi="Calibri"/>
                <w:b/>
                <w:color w:val="FFFFFF"/>
                <w:sz w:val="20"/>
              </w:rPr>
              <w:t>Parameter / Question</w:t>
            </w:r>
          </w:p>
        </w:tc>
        <w:tc>
          <w:tcPr>
            <w:tcW w:type="dxa" w:w="4680"/>
            <w:shd w:fill="1F4E78"/>
          </w:tcPr>
          <w:p>
            <w:pPr>
              <w:jc w:val="left"/>
            </w:pPr>
            <w:r>
              <w:rPr>
                <w:rFonts w:ascii="Calibri" w:hAnsi="Calibri"/>
                <w:b/>
                <w:color w:val="FFFFFF"/>
                <w:sz w:val="20"/>
              </w:rPr>
              <w:t>Locked Value / Implementation in Pipeline</w:t>
            </w:r>
          </w:p>
        </w:tc>
      </w:tr>
      <w:tr>
        <w:tc>
          <w:tcPr>
            <w:tcW w:type="dxa" w:w="4680"/>
            <w:shd w:fill="FFFFFF"/>
          </w:tcPr>
          <w:p>
            <w:pPr>
              <w:jc w:val="left"/>
            </w:pPr>
            <w:r>
              <w:rPr>
                <w:rFonts w:ascii="Calibri" w:hAnsi="Calibri"/>
                <w:b/>
                <w:color w:val="2D3748"/>
                <w:sz w:val="18"/>
              </w:rPr>
              <w:t>1. RNA-seq Normalization</w:t>
            </w:r>
          </w:p>
        </w:tc>
        <w:tc>
          <w:tcPr>
            <w:tcW w:type="dxa" w:w="4680"/>
            <w:shd w:fill="FFFFFF"/>
          </w:tcPr>
          <w:p>
            <w:pPr>
              <w:jc w:val="left"/>
            </w:pPr>
            <w:r>
              <w:rPr>
                <w:rFonts w:ascii="Calibri" w:hAnsi="Calibri"/>
                <w:b w:val="0"/>
                <w:color w:val="1E293B"/>
                <w:sz w:val="18"/>
              </w:rPr>
              <w:t>DESeq2 Variance Stabilizing Transformation (VST), blind = TRUE</w:t>
            </w:r>
          </w:p>
        </w:tc>
      </w:tr>
      <w:tr>
        <w:tc>
          <w:tcPr>
            <w:tcW w:type="dxa" w:w="4680"/>
            <w:shd w:fill="F8FAFC"/>
          </w:tcPr>
          <w:p>
            <w:pPr>
              <w:jc w:val="left"/>
            </w:pPr>
            <w:r>
              <w:rPr>
                <w:rFonts w:ascii="Calibri" w:hAnsi="Calibri"/>
                <w:b/>
                <w:color w:val="2D3748"/>
                <w:sz w:val="18"/>
              </w:rPr>
              <w:t>2. Expression Filtering</w:t>
            </w:r>
          </w:p>
        </w:tc>
        <w:tc>
          <w:tcPr>
            <w:tcW w:type="dxa" w:w="4680"/>
            <w:shd w:fill="F8FAFC"/>
          </w:tcPr>
          <w:p>
            <w:pPr>
              <w:jc w:val="left"/>
            </w:pPr>
            <w:r>
              <w:rPr>
                <w:rFonts w:ascii="Calibri" w:hAnsi="Calibri"/>
                <w:b w:val="0"/>
                <w:color w:val="1E293B"/>
                <w:sz w:val="18"/>
              </w:rPr>
              <w:t>Count &gt;= 10 in at least 20% of samples (CD45+: 17,213 genes; CD71+: 10,352 genes)</w:t>
            </w:r>
          </w:p>
        </w:tc>
      </w:tr>
      <w:tr>
        <w:tc>
          <w:tcPr>
            <w:tcW w:type="dxa" w:w="4680"/>
            <w:shd w:fill="FFFFFF"/>
          </w:tcPr>
          <w:p>
            <w:pPr>
              <w:jc w:val="left"/>
            </w:pPr>
            <w:r>
              <w:rPr>
                <w:rFonts w:ascii="Calibri" w:hAnsi="Calibri"/>
                <w:b/>
                <w:color w:val="2D3748"/>
                <w:sz w:val="18"/>
              </w:rPr>
              <w:t>3. Variance Filtering</w:t>
            </w:r>
          </w:p>
        </w:tc>
        <w:tc>
          <w:tcPr>
            <w:tcW w:type="dxa" w:w="4680"/>
            <w:shd w:fill="FFFFFF"/>
          </w:tcPr>
          <w:p>
            <w:pPr>
              <w:jc w:val="left"/>
            </w:pPr>
            <w:r>
              <w:rPr>
                <w:rFonts w:ascii="Calibri" w:hAnsi="Calibri"/>
                <w:b w:val="0"/>
                <w:color w:val="1E293B"/>
                <w:sz w:val="18"/>
              </w:rPr>
              <w:t>None / Zero-variance check only (all filtered genes retained)</w:t>
            </w:r>
          </w:p>
        </w:tc>
      </w:tr>
      <w:tr>
        <w:tc>
          <w:tcPr>
            <w:tcW w:type="dxa" w:w="4680"/>
            <w:shd w:fill="F8FAFC"/>
          </w:tcPr>
          <w:p>
            <w:pPr>
              <w:jc w:val="left"/>
            </w:pPr>
            <w:r>
              <w:rPr>
                <w:rFonts w:ascii="Calibri" w:hAnsi="Calibri"/>
                <w:b/>
                <w:color w:val="2D3748"/>
                <w:sz w:val="18"/>
              </w:rPr>
              <w:t>4. R Version</w:t>
            </w:r>
          </w:p>
        </w:tc>
        <w:tc>
          <w:tcPr>
            <w:tcW w:type="dxa" w:w="4680"/>
            <w:shd w:fill="F8FAFC"/>
          </w:tcPr>
          <w:p>
            <w:pPr>
              <w:jc w:val="left"/>
            </w:pPr>
            <w:r>
              <w:rPr>
                <w:rFonts w:ascii="Calibri" w:hAnsi="Calibri"/>
                <w:b w:val="0"/>
                <w:color w:val="1E293B"/>
                <w:sz w:val="18"/>
              </w:rPr>
              <w:t>R version 4.5.2 (2025-10-31 ucrt, 64-bit Windows)</w:t>
            </w:r>
          </w:p>
        </w:tc>
      </w:tr>
      <w:tr>
        <w:tc>
          <w:tcPr>
            <w:tcW w:type="dxa" w:w="4680"/>
            <w:shd w:fill="FFFFFF"/>
          </w:tcPr>
          <w:p>
            <w:pPr>
              <w:jc w:val="left"/>
            </w:pPr>
            <w:r>
              <w:rPr>
                <w:rFonts w:ascii="Calibri" w:hAnsi="Calibri"/>
                <w:b/>
                <w:color w:val="2D3748"/>
                <w:sz w:val="18"/>
              </w:rPr>
              <w:t>5. WGCNA Version</w:t>
            </w:r>
          </w:p>
        </w:tc>
        <w:tc>
          <w:tcPr>
            <w:tcW w:type="dxa" w:w="4680"/>
            <w:shd w:fill="FFFFFF"/>
          </w:tcPr>
          <w:p>
            <w:pPr>
              <w:jc w:val="left"/>
            </w:pPr>
            <w:r>
              <w:rPr>
                <w:rFonts w:ascii="Calibri" w:hAnsi="Calibri"/>
                <w:b w:val="0"/>
                <w:color w:val="1E293B"/>
                <w:sz w:val="18"/>
              </w:rPr>
              <w:t>WGCNA version 1.74</w:t>
            </w:r>
          </w:p>
        </w:tc>
      </w:tr>
      <w:tr>
        <w:tc>
          <w:tcPr>
            <w:tcW w:type="dxa" w:w="4680"/>
            <w:shd w:fill="F8FAFC"/>
          </w:tcPr>
          <w:p>
            <w:pPr>
              <w:jc w:val="left"/>
            </w:pPr>
            <w:r>
              <w:rPr>
                <w:rFonts w:ascii="Calibri" w:hAnsi="Calibri"/>
                <w:b/>
                <w:color w:val="2D3748"/>
                <w:sz w:val="18"/>
              </w:rPr>
              <w:t>6. Network Correlation</w:t>
            </w:r>
          </w:p>
        </w:tc>
        <w:tc>
          <w:tcPr>
            <w:tcW w:type="dxa" w:w="4680"/>
            <w:shd w:fill="F8FAFC"/>
          </w:tcPr>
          <w:p>
            <w:pPr>
              <w:jc w:val="left"/>
            </w:pPr>
            <w:r>
              <w:rPr>
                <w:rFonts w:ascii="Calibri" w:hAnsi="Calibri"/>
                <w:b w:val="0"/>
                <w:color w:val="1E293B"/>
                <w:sz w:val="18"/>
              </w:rPr>
              <w:t>Pearson correlation (corType = 'pearson')</w:t>
            </w:r>
          </w:p>
        </w:tc>
      </w:tr>
      <w:tr>
        <w:tc>
          <w:tcPr>
            <w:tcW w:type="dxa" w:w="4680"/>
            <w:shd w:fill="FFFFFF"/>
          </w:tcPr>
          <w:p>
            <w:pPr>
              <w:jc w:val="left"/>
            </w:pPr>
            <w:r>
              <w:rPr>
                <w:rFonts w:ascii="Calibri" w:hAnsi="Calibri"/>
                <w:b/>
                <w:color w:val="2D3748"/>
                <w:sz w:val="18"/>
              </w:rPr>
              <w:t>7. Network &amp; TOM Type</w:t>
            </w:r>
          </w:p>
        </w:tc>
        <w:tc>
          <w:tcPr>
            <w:tcW w:type="dxa" w:w="4680"/>
            <w:shd w:fill="FFFFFF"/>
          </w:tcPr>
          <w:p>
            <w:pPr>
              <w:jc w:val="left"/>
            </w:pPr>
            <w:r>
              <w:rPr>
                <w:rFonts w:ascii="Calibri" w:hAnsi="Calibri"/>
                <w:b w:val="0"/>
                <w:color w:val="1E293B"/>
                <w:sz w:val="18"/>
              </w:rPr>
              <w:t>Unsigned network adjacency with Signed Topological Overlap Matrix (TOMType = 'signed')</w:t>
            </w:r>
          </w:p>
        </w:tc>
      </w:tr>
      <w:tr>
        <w:tc>
          <w:tcPr>
            <w:tcW w:type="dxa" w:w="4680"/>
            <w:shd w:fill="F8FAFC"/>
          </w:tcPr>
          <w:p>
            <w:pPr>
              <w:jc w:val="left"/>
            </w:pPr>
            <w:r>
              <w:rPr>
                <w:rFonts w:ascii="Calibri" w:hAnsi="Calibri"/>
                <w:b/>
                <w:color w:val="2D3748"/>
                <w:sz w:val="18"/>
              </w:rPr>
              <w:t>8. Soft Powers (Beta)</w:t>
            </w:r>
          </w:p>
        </w:tc>
        <w:tc>
          <w:tcPr>
            <w:tcW w:type="dxa" w:w="4680"/>
            <w:shd w:fill="F8FAFC"/>
          </w:tcPr>
          <w:p>
            <w:pPr>
              <w:jc w:val="left"/>
            </w:pPr>
            <w:r>
              <w:rPr>
                <w:rFonts w:ascii="Calibri" w:hAnsi="Calibri"/>
                <w:b w:val="0"/>
                <w:color w:val="1E293B"/>
                <w:sz w:val="18"/>
              </w:rPr>
              <w:t>CD45+ Steady State: 5 | CD45+ VOE: 5 | CD71+ Steady State: 15 | CD71+ VOE: 15</w:t>
            </w:r>
          </w:p>
        </w:tc>
      </w:tr>
      <w:tr>
        <w:tc>
          <w:tcPr>
            <w:tcW w:type="dxa" w:w="4680"/>
            <w:shd w:fill="FFFFFF"/>
          </w:tcPr>
          <w:p>
            <w:pPr>
              <w:jc w:val="left"/>
            </w:pPr>
            <w:r>
              <w:rPr>
                <w:rFonts w:ascii="Calibri" w:hAnsi="Calibri"/>
                <w:b/>
                <w:color w:val="2D3748"/>
                <w:sz w:val="18"/>
              </w:rPr>
              <w:t>9. Minimum Module Size</w:t>
            </w:r>
          </w:p>
        </w:tc>
        <w:tc>
          <w:tcPr>
            <w:tcW w:type="dxa" w:w="4680"/>
            <w:shd w:fill="FFFFFF"/>
          </w:tcPr>
          <w:p>
            <w:pPr>
              <w:jc w:val="left"/>
            </w:pPr>
            <w:r>
              <w:rPr>
                <w:rFonts w:ascii="Calibri" w:hAnsi="Calibri"/>
                <w:b w:val="0"/>
                <w:color w:val="1E293B"/>
                <w:sz w:val="18"/>
              </w:rPr>
              <w:t>30 genes (minModuleSize = 30)</w:t>
            </w:r>
          </w:p>
        </w:tc>
      </w:tr>
      <w:tr>
        <w:tc>
          <w:tcPr>
            <w:tcW w:type="dxa" w:w="4680"/>
            <w:shd w:fill="F8FAFC"/>
          </w:tcPr>
          <w:p>
            <w:pPr>
              <w:jc w:val="left"/>
            </w:pPr>
            <w:r>
              <w:rPr>
                <w:rFonts w:ascii="Calibri" w:hAnsi="Calibri"/>
                <w:b/>
                <w:color w:val="2D3748"/>
                <w:sz w:val="18"/>
              </w:rPr>
              <w:t>10. Module Merging Threshold</w:t>
            </w:r>
          </w:p>
        </w:tc>
        <w:tc>
          <w:tcPr>
            <w:tcW w:type="dxa" w:w="4680"/>
            <w:shd w:fill="F8FAFC"/>
          </w:tcPr>
          <w:p>
            <w:pPr>
              <w:jc w:val="left"/>
            </w:pPr>
            <w:r>
              <w:rPr>
                <w:rFonts w:ascii="Calibri" w:hAnsi="Calibri"/>
                <w:b w:val="0"/>
                <w:color w:val="1E293B"/>
                <w:sz w:val="18"/>
              </w:rPr>
              <w:t>0.25 eigengene dissimilarity (mergeCutHeight = 0.25; merges if correlation &gt;= 0.75)</w:t>
            </w:r>
          </w:p>
        </w:tc>
      </w:tr>
      <w:tr>
        <w:tc>
          <w:tcPr>
            <w:tcW w:type="dxa" w:w="4680"/>
            <w:shd w:fill="FFFFFF"/>
          </w:tcPr>
          <w:p>
            <w:pPr>
              <w:jc w:val="left"/>
            </w:pPr>
            <w:r>
              <w:rPr>
                <w:rFonts w:ascii="Calibri" w:hAnsi="Calibri"/>
                <w:b/>
                <w:color w:val="2D3748"/>
                <w:sz w:val="18"/>
              </w:rPr>
              <w:t>11. Tree Splitting Resolution</w:t>
            </w:r>
          </w:p>
        </w:tc>
        <w:tc>
          <w:tcPr>
            <w:tcW w:type="dxa" w:w="4680"/>
            <w:shd w:fill="FFFFFF"/>
          </w:tcPr>
          <w:p>
            <w:pPr>
              <w:jc w:val="left"/>
            </w:pPr>
            <w:r>
              <w:rPr>
                <w:rFonts w:ascii="Calibri" w:hAnsi="Calibri"/>
                <w:b w:val="0"/>
                <w:color w:val="1E293B"/>
                <w:sz w:val="18"/>
              </w:rPr>
              <w:t>deepSplit = 4 (maximum sensitivity for module detection)</w:t>
            </w:r>
          </w:p>
        </w:tc>
      </w:tr>
      <w:tr>
        <w:tc>
          <w:tcPr>
            <w:tcW w:type="dxa" w:w="4680"/>
            <w:shd w:fill="F8FAFC"/>
          </w:tcPr>
          <w:p>
            <w:pPr>
              <w:jc w:val="left"/>
            </w:pPr>
            <w:r>
              <w:rPr>
                <w:rFonts w:ascii="Calibri" w:hAnsi="Calibri"/>
                <w:b/>
                <w:color w:val="2D3748"/>
                <w:sz w:val="18"/>
              </w:rPr>
              <w:t>12. GO Enrichment Tool</w:t>
            </w:r>
          </w:p>
        </w:tc>
        <w:tc>
          <w:tcPr>
            <w:tcW w:type="dxa" w:w="4680"/>
            <w:shd w:fill="F8FAFC"/>
          </w:tcPr>
          <w:p>
            <w:pPr>
              <w:jc w:val="left"/>
            </w:pPr>
            <w:r>
              <w:rPr>
                <w:rFonts w:ascii="Calibri" w:hAnsi="Calibri"/>
                <w:b w:val="0"/>
                <w:color w:val="1E293B"/>
                <w:sz w:val="18"/>
              </w:rPr>
              <w:t>clusterProfiler (version 4.18.4) with org.Hs.eg.db (version 3.22.0) and enrichplot</w:t>
            </w:r>
          </w:p>
        </w:tc>
      </w:tr>
      <w:tr>
        <w:tc>
          <w:tcPr>
            <w:tcW w:type="dxa" w:w="4680"/>
            <w:shd w:fill="FFFFFF"/>
          </w:tcPr>
          <w:p>
            <w:pPr>
              <w:jc w:val="left"/>
            </w:pPr>
            <w:r>
              <w:rPr>
                <w:rFonts w:ascii="Calibri" w:hAnsi="Calibri"/>
                <w:b/>
                <w:color w:val="2D3748"/>
                <w:sz w:val="18"/>
              </w:rPr>
              <w:t>13. GO Background Universe</w:t>
            </w:r>
          </w:p>
        </w:tc>
        <w:tc>
          <w:tcPr>
            <w:tcW w:type="dxa" w:w="4680"/>
            <w:shd w:fill="FFFFFF"/>
          </w:tcPr>
          <w:p>
            <w:pPr>
              <w:jc w:val="left"/>
            </w:pPr>
            <w:r>
              <w:rPr>
                <w:rFonts w:ascii="Calibri" w:hAnsi="Calibri"/>
                <w:b w:val="0"/>
                <w:color w:val="1E293B"/>
                <w:sz w:val="18"/>
              </w:rPr>
              <w:t>Full human genome background annotated in org.Hs.eg.db (18,860 genes)</w:t>
            </w:r>
          </w:p>
        </w:tc>
      </w:tr>
      <w:tr>
        <w:tc>
          <w:tcPr>
            <w:tcW w:type="dxa" w:w="4680"/>
            <w:shd w:fill="F8FAFC"/>
          </w:tcPr>
          <w:p>
            <w:pPr>
              <w:jc w:val="left"/>
            </w:pPr>
            <w:r>
              <w:rPr>
                <w:rFonts w:ascii="Calibri" w:hAnsi="Calibri"/>
                <w:b/>
                <w:color w:val="2D3748"/>
                <w:sz w:val="18"/>
              </w:rPr>
              <w:t>14. xCell Tool Version</w:t>
            </w:r>
          </w:p>
        </w:tc>
        <w:tc>
          <w:tcPr>
            <w:tcW w:type="dxa" w:w="4680"/>
            <w:shd w:fill="F8FAFC"/>
          </w:tcPr>
          <w:p>
            <w:pPr>
              <w:jc w:val="left"/>
            </w:pPr>
            <w:r>
              <w:rPr>
                <w:rFonts w:ascii="Calibri" w:hAnsi="Calibri"/>
                <w:b w:val="0"/>
                <w:color w:val="1E293B"/>
                <w:sz w:val="18"/>
              </w:rPr>
              <w:t>xCell version 1.1.0 (wrapped via immunedeconv version 2.1.4)</w:t>
            </w:r>
          </w:p>
        </w:tc>
      </w:tr>
      <w:tr>
        <w:tc>
          <w:tcPr>
            <w:tcW w:type="dxa" w:w="4680"/>
            <w:shd w:fill="FFFFFF"/>
          </w:tcPr>
          <w:p>
            <w:pPr>
              <w:jc w:val="left"/>
            </w:pPr>
            <w:r>
              <w:rPr>
                <w:rFonts w:ascii="Calibri" w:hAnsi="Calibri"/>
                <w:b/>
                <w:color w:val="2D3748"/>
                <w:sz w:val="18"/>
              </w:rPr>
              <w:t>15. Paired Samples Statistic</w:t>
            </w:r>
          </w:p>
        </w:tc>
        <w:tc>
          <w:tcPr>
            <w:tcW w:type="dxa" w:w="4680"/>
            <w:shd w:fill="FFFFFF"/>
          </w:tcPr>
          <w:p>
            <w:pPr>
              <w:jc w:val="left"/>
            </w:pPr>
            <w:r>
              <w:rPr>
                <w:rFonts w:ascii="Calibri" w:hAnsi="Calibri"/>
                <w:b w:val="0"/>
                <w:color w:val="1E293B"/>
                <w:sz w:val="18"/>
              </w:rPr>
              <w:t>Spearman rank correlation (rho) on paired deltas across 19 patients</w:t>
            </w:r>
          </w:p>
        </w:tc>
      </w:tr>
      <w:tr>
        <w:tc>
          <w:tcPr>
            <w:tcW w:type="dxa" w:w="4680"/>
            <w:shd w:fill="F8FAFC"/>
          </w:tcPr>
          <w:p>
            <w:pPr>
              <w:jc w:val="left"/>
            </w:pPr>
            <w:r>
              <w:rPr>
                <w:rFonts w:ascii="Calibri" w:hAnsi="Calibri"/>
                <w:b/>
                <w:color w:val="2D3748"/>
                <w:sz w:val="18"/>
              </w:rPr>
              <w:t>16. Multiple Testing Correction</w:t>
            </w:r>
          </w:p>
        </w:tc>
        <w:tc>
          <w:tcPr>
            <w:tcW w:type="dxa" w:w="4680"/>
            <w:shd w:fill="F8FAFC"/>
          </w:tcPr>
          <w:p>
            <w:pPr>
              <w:jc w:val="left"/>
            </w:pPr>
            <w:r>
              <w:rPr>
                <w:rFonts w:ascii="Calibri" w:hAnsi="Calibri"/>
                <w:b w:val="0"/>
                <w:color w:val="1E293B"/>
                <w:sz w:val="18"/>
              </w:rPr>
              <w:t>Benjamini-Hochberg (BH) False Discovery Rate (FDR) at significance alpha = 0.05</w:t>
            </w:r>
          </w:p>
        </w:tc>
      </w:tr>
    </w:tbl>
    <w:p>
      <w:pPr>
        <w:spacing w:after="240"/>
      </w:pPr>
    </w:p>
    <w:p>
      <w:pPr>
        <w:spacing w:before="320" w:after="120"/>
      </w:pPr>
      <w:r>
        <w:rPr>
          <w:rFonts w:ascii="Calibri" w:hAnsi="Calibri"/>
          <w:b/>
          <w:color w:val="1F4E78"/>
          <w:sz w:val="32"/>
        </w:rPr>
        <w:t>1. Exact RNA-seq Normalization Method and Formula</w:t>
      </w:r>
    </w:p>
    <w:p>
      <w:r>
        <w:rPr>
          <w:rFonts w:ascii="Calibri" w:hAnsi="Calibri"/>
        </w:rPr>
        <w:t xml:space="preserve">The pipeline uses the </w:t>
      </w:r>
      <w:r>
        <w:rPr>
          <w:b/>
        </w:rPr>
        <w:t>Variance Stabilizing Transformation (VST)</w:t>
      </w:r>
      <w:r>
        <w:rPr>
          <w:rFonts w:ascii="Calibri" w:hAnsi="Calibri"/>
        </w:rPr>
        <w:t xml:space="preserve"> implemented in the Bioconductor R package </w:t>
      </w:r>
      <w:r>
        <w:rPr>
          <w:b/>
        </w:rPr>
        <w:t>DESeq2 (version 1.50.2)</w:t>
      </w:r>
      <w:r>
        <w:t>, executed with the parameter blind = TRUE.</w:t>
        <w:br/>
        <w:br/>
        <w:t>Code execution in pipeline:</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24" w:space="0" w:color="1F4E78"/>
              <w:bottom w:val="none"/>
              <w:right w:val="none"/>
            </w:tcBorders>
            <w:tcMar>
              <w:top w:w="120" w:type="dxa"/>
              <w:left w:w="200" w:type="dxa"/>
              <w:bottom w:w="120" w:type="dxa"/>
              <w:right w:w="200" w:type="dxa"/>
            </w:tcMar>
          </w:tcPr>
          <w:p>
            <w:pPr>
              <w:spacing w:before="40" w:after="40"/>
            </w:pPr>
            <w:r>
              <w:rPr>
                <w:rFonts w:ascii="Calibri" w:hAnsi="Calibri"/>
                <w:b/>
                <w:color w:val="1F4E78"/>
                <w:sz w:val="21"/>
              </w:rPr>
              <w:t>R Code Command Used</w:t>
              <w:br/>
            </w:r>
            <w:r>
              <w:rPr>
                <w:rFonts w:ascii="Calibri" w:hAnsi="Calibri"/>
                <w:color w:val="1E293B"/>
                <w:sz w:val="20"/>
              </w:rPr>
              <w:t>dds &lt;- DESeqDataSetFromMatrix(countData = round(counts_final), colData = meta_filtered, design = ~ Sex + status)</w:t>
              <w:br/>
              <w:t>dds &lt;- DESeq(dds)</w:t>
              <w:br/>
              <w:t>vst_data &lt;- vst(dds, blind = TRUE)</w:t>
              <w:br/>
              <w:t>vst_matrix &lt;- assay(vst_data)</w:t>
            </w:r>
          </w:p>
        </w:tc>
      </w:tr>
    </w:tbl>
    <w:p>
      <w:pPr>
        <w:spacing w:after="80"/>
      </w:pPr>
    </w:p>
    <w:p>
      <w:r>
        <w:rPr>
          <w:b/>
        </w:rPr>
        <w:t>How the Normalization Formula Works (Step-by-Step in Plain Language):</w:t>
        <w:br/>
      </w:r>
      <w:r>
        <w:t>1. Library Size Scaling (Median-of-Ratios):</w:t>
        <w:br/>
        <w:t xml:space="preserve">   Raw sequencing depth varies between patients. First, a reference pseudo-sample is calculated by taking the geometric mean of each gene across all samples. For each individual sample, the ratio of its raw count to the reference is computed for every gene. The median of these ratios becomes that sample's size factor. Dividing raw counts by this size factor yields normalized counts scaled for library depth.</w:t>
        <w:br/>
        <w:br/>
        <w:t>2. Fitting the Dispersion Trend:</w:t>
        <w:br/>
        <w:t xml:space="preserve">   In RNA sequencing, genes with low counts have high technical noise (variance is much larger than the mean). DESeq2 fits a smooth mathematical curve across all genes that describes how dispersion relates to mean expression. This curve is parameterized as:</w:t>
        <w:br/>
        <w:t xml:space="preserve">   dispersion(mean) = alpha_0 + (alpha_1 / mean)</w:t>
        <w:br/>
        <w:t xml:space="preserve">   where alpha_0 and alpha_1 are constants estimated from the dataset.</w:t>
        <w:br/>
        <w:br/>
        <w:t>3. Applying the Variance-Stabilizing Transformation:</w:t>
        <w:br/>
        <w:t xml:space="preserve">   Ordinary logarithm transformations compress high values but explode the relative variance of low counts (introducing massive artificial noise). The VST transformation solves this by integrating the reciprocal of the standard deviation from the fitted curve.</w:t>
        <w:br/>
        <w:t xml:space="preserve">   In human-readable terms, the resulting transformed value is:</w:t>
        <w:br/>
        <w:br/>
        <w:t xml:space="preserve">   Transformed Count = (2 / square_root(alpha_1)) * arsinh( square_root(alpha_1 * normalized_count) )</w:t>
        <w:br/>
        <w:br/>
        <w:t xml:space="preserve">   where arsinh is the inverse hyperbolic sine function. For low counts, arsinh behaves like a square-root transformation, keeping variance constant and suppressing noise. For moderate-to-high counts, it smoothly converges to the standard log2 scale.</w:t>
        <w:br/>
        <w:br/>
        <w:t>4. Why blind = TRUE was specified:</w:t>
        <w:br/>
        <w:t xml:space="preserve">   Setting blind = TRUE instructs DESeq2 to estimate the dispersion trend without taking into account whether a sample is Steady State or Crisis (VOE), or Male or Female. This ensures that the transformation is completely unbiased and does not artificially inflate or compress differences between experimental groups prior to WGCNA network construction.</w:t>
      </w:r>
    </w:p>
    <w:p>
      <w:pPr>
        <w:spacing w:before="320" w:after="120"/>
      </w:pPr>
      <w:r>
        <w:rPr>
          <w:rFonts w:ascii="Calibri" w:hAnsi="Calibri"/>
          <w:b/>
          <w:color w:val="1F4E78"/>
          <w:sz w:val="32"/>
        </w:rPr>
        <w:t>2. Gene Expression and Variance-Filtering Thresholds</w:t>
      </w:r>
    </w:p>
    <w:p>
      <w:r>
        <w:rPr>
          <w:b/>
        </w:rPr>
        <w:t>Gene Expression Filtering:</w:t>
        <w:br/>
      </w:r>
      <w:r>
        <w:t>A gene was retained in the analysis only if it had at least 10 counts in at least 20 percent of the samples in that cell type. Samples from follow-up clinic visits were removed upfront, restricting the cohort strictly to Steady State and acute VOE samples.</w:t>
        <w:br/>
        <w:br/>
        <w:t>- CD45+ leukocytes (white blood cells):</w:t>
        <w:br/>
        <w:t xml:space="preserve">  Total qualifying samples: 196 samples.</w:t>
        <w:br/>
        <w:t xml:space="preserve">  Threshold: 20 percent of 196 = 39.2 (rounded up to 40 samples).</w:t>
        <w:br/>
        <w:t xml:space="preserve">  Filter rule: Count &gt;= 10 in at least 40 samples.</w:t>
        <w:br/>
        <w:t xml:space="preserve">  Result: 17,213 genes retained (from 58,037 initial Ensembl gene IDs; 40,824 low-count genes removed).</w:t>
        <w:br/>
        <w:br/>
        <w:t>- CD71+ erythroid precursors (young red blood cells):</w:t>
        <w:br/>
        <w:t xml:space="preserve">  Total qualifying samples: 178 samples.</w:t>
        <w:br/>
        <w:t xml:space="preserve">  Threshold: 20 percent of 178 = 35.6 (rounded up to 36 samples).</w:t>
        <w:br/>
        <w:t xml:space="preserve">  Filter rule: Count &gt;= 10 in at least 36 samples.</w:t>
        <w:br/>
        <w:t xml:space="preserve">  Result: 10,352 genes retained (from 58,037 initial Ensembl gene IDs; 47,685 low-count genes removed).</w:t>
        <w:br/>
        <w:br/>
      </w:r>
      <w:r>
        <w:rPr>
          <w:b/>
        </w:rPr>
        <w:t>Variance-Filtering Threshold:</w:t>
        <w:br/>
      </w:r>
      <w:r>
        <w:t>No variance filtering threshold was applied. Unlike microarrays where low-variance genes are arbitrarily removed via median absolute deviation (MAD) or interquartile range (IQR) percentiles, modern RNA-seq WGCNA best practice retains all reliably expressed genes to preserve complete biological regulatory networks.</w:t>
        <w:br/>
        <w:t>The pipeline executed WGCNA's built-in data integrity check goodSamplesGenes(expr_data), which inspects for zero-variance genes or excessive missing values. In both CD45+ (17,213 genes) and CD71+ (10,352 genes), all genes had non-zero variance and 100 percent of genes passed the check without removal (gsg$allOK = TRUE).</w:t>
      </w:r>
    </w:p>
    <w:p>
      <w:pPr>
        <w:spacing w:before="320" w:after="120"/>
      </w:pPr>
      <w:r>
        <w:rPr>
          <w:rFonts w:ascii="Calibri" w:hAnsi="Calibri"/>
          <w:b/>
          <w:color w:val="1F4E78"/>
          <w:sz w:val="32"/>
        </w:rPr>
        <w:t>3. R Version</w:t>
      </w:r>
    </w:p>
    <w:p>
      <w:r>
        <w:t>The entire analysis was executed in:</w:t>
        <w:br/>
        <w:t>- Exact Version: R version 4.5.2 (release date: 2025-10-31 ucrt)</w:t>
        <w:br/>
        <w:t>- Release Nickname: '[Not] Part in a Rumble'</w:t>
        <w:br/>
        <w:t>- Operating Platform: x86_64-w64-mingw32/x64 (Windows 64-bit)</w:t>
        <w:br/>
        <w:t>- Verification: Confirmed via direct executable query (R.exe --version) and binary serialization headers in stored .rds and .RData files (internal version identifier 0x00040502).</w:t>
      </w:r>
    </w:p>
    <w:p>
      <w:pPr>
        <w:spacing w:before="320" w:after="120"/>
      </w:pPr>
      <w:r>
        <w:rPr>
          <w:rFonts w:ascii="Calibri" w:hAnsi="Calibri"/>
          <w:b/>
          <w:color w:val="1F4E78"/>
          <w:sz w:val="32"/>
        </w:rPr>
        <w:t>4. WGCNA Version, Network Type, and Correlation Function</w:t>
      </w:r>
    </w:p>
    <w:p>
      <w:r>
        <w:t>- WGCNA Package Version: 1.74</w:t>
        <w:br/>
        <w:br/>
        <w:t>- Correlation Function: Standard Pearson correlation (corType = 'pearson', the default in blockwiseModules and pickSoftThreshold). Gene-to-module connectivity (kME) was evaluated using Pearson correlation via WGCNA's signedKME() function.</w:t>
        <w:br/>
        <w:br/>
        <w:t>- Network Type: Unsigned network adjacency. In the blockwiseModules() call, networkType was not explicitly passed, meaning it took the WGCNA default of 'unsigned'. Pairwise gene connection strength is defined as:</w:t>
        <w:br/>
        <w:t xml:space="preserve">  Connection Strength = absolute_value( Pearson_Correlation ) raised to the soft_power</w:t>
        <w:br/>
        <w:br/>
        <w:t>- Topological Overlap Matrix (TOM): Explicitly configured as Signed (TOMType = 'signed'). This ensures that while initial network connections capture co-regulation regardless of sign, topological neighborhood overlap preserves shared positive vs. negative correlation patterns.</w:t>
        <w:br/>
        <w:br/>
        <w:t>- Soft Thresholding Powers Selected (Beta):</w:t>
        <w:br/>
        <w:t xml:space="preserve">  * CD45+ Steady State: Soft Power = 5 (scale-free topology fit index R-squared = 0.81, mean connectivity = 87.4)</w:t>
        <w:br/>
        <w:t xml:space="preserve">  * CD45+ VOE (Crisis): Soft Power = 5 (scale-free topology fit index R-squared = 0.82, mean connectivity = 84.1)</w:t>
        <w:br/>
        <w:t xml:space="preserve">  * CD71+ Steady State: Soft Power = 15 (scale-free topology fit index R-squared = 0.83, mean connectivity = 28.5)</w:t>
        <w:br/>
        <w:t xml:space="preserve">  * CD71+ VOE (Crisis): Soft Power = 15 (scale-free topology fit index R-squared = 0.81, mean connectivity = 31.2)</w:t>
      </w:r>
    </w:p>
    <w:p>
      <w:pPr>
        <w:spacing w:before="320" w:after="120"/>
      </w:pPr>
      <w:r>
        <w:rPr>
          <w:rFonts w:ascii="Calibri" w:hAnsi="Calibri"/>
          <w:b/>
          <w:color w:val="1F4E78"/>
          <w:sz w:val="32"/>
        </w:rPr>
        <w:t>5. Minimum Module Size and Module-Merging Threshold</w:t>
      </w:r>
    </w:p>
    <w:p>
      <w:r>
        <w:t>Network construction parameters configured in WGCNA blockwiseModules():</w:t>
        <w:br/>
        <w:br/>
        <w:t>- Minimum Module Size (minModuleSize = 30):</w:t>
        <w:br/>
        <w:t xml:space="preserve">  A co-expression module had to contain at least 30 tightly correlated genes to be recognized as an independent module. Any cluster with fewer than 30 genes was excluded or merged into the unassigned 'grey' group.</w:t>
        <w:br/>
        <w:br/>
        <w:t>- Module-Merging Threshold (mergeCutHeight = 0.25):</w:t>
        <w:br/>
        <w:t xml:space="preserve">  After initial module identification, eigengenes (the first principal component representing each module's overall expression profile) were calculated. If the correlation distance between two module eigengenes was 0.25 or less (equivalent to an eigengene Pearson correlation of 0.75 or higher), the two modules were automatically merged into a single module.</w:t>
        <w:br/>
        <w:br/>
        <w:t>- Tree Splitting Resolution (deepSplit = 4):</w:t>
        <w:br/>
        <w:t xml:space="preserve">  Set to 4 (the maximum possible sensitivity). This fine-grained clustering resolution was critical to cleanly separate distinct functional modules within large, highly correlated biological blocks (such as cell-division genes in CD45+ and ribosome assembly genes in CD71+).</w:t>
      </w:r>
    </w:p>
    <w:p>
      <w:pPr>
        <w:spacing w:before="320" w:after="120"/>
      </w:pPr>
      <w:r>
        <w:rPr>
          <w:rFonts w:ascii="Calibri" w:hAnsi="Calibri"/>
          <w:b/>
          <w:color w:val="1F4E78"/>
          <w:sz w:val="32"/>
        </w:rPr>
        <w:t>6. GO Enrichment Software and Background Universe</w:t>
      </w:r>
    </w:p>
    <w:p>
      <w:r>
        <w:t>- Software: Bioconductor R package clusterProfiler (version 4.18.4) utilizing organism annotation database org.Hs.eg.db (version 3.22.0) and visualization package enrichplot. The exact function called was clusterProfiler::enrichGO().</w:t>
        <w:br/>
        <w:br/>
        <w:t>- Target Gene Set Analyzed:</w:t>
        <w:br/>
        <w:t xml:space="preserve">  The 102 genes in CD71+ that shifted from the turquoise module in Steady State to the red module during VOE crisis (CD71_turquoise_to_red_genes.csv). Gene symbols and Ensembl IDs were translated to Entrez Gene IDs via bitr().</w:t>
        <w:br/>
        <w:br/>
        <w:t>- Background Universe:</w:t>
        <w:br/>
        <w:t xml:space="preserve">  The 'universe' argument was not supplied to enrichGO() (meaning universe = NULL). By default, clusterProfiler uses the entire human genome background containing GO Biological Process annotations in org.Hs.eg.db. This background comprises exactly 18,860 human genes, as shown by the background ratio denominator in the output table (BgRatio = ... / 18860).</w:t>
        <w:br/>
        <w:br/>
        <w:t>- Top Significant Biological Pathway Discovered:</w:t>
        <w:br/>
        <w:t xml:space="preserve">  GO:0022613 'ribonucleoprotein complex biogenesis' (12 genes out of 98 in the query set vs. 496 out of 18,860 in the background universe; nominal p-value = 1.00 x 10^-5, Benjamini-Hochberg adjusted p-value = 0.0168, q-value = 0.0157).</w:t>
      </w:r>
    </w:p>
    <w:p>
      <w:pPr>
        <w:spacing w:before="320" w:after="120"/>
      </w:pPr>
      <w:r>
        <w:rPr>
          <w:rFonts w:ascii="Calibri" w:hAnsi="Calibri"/>
          <w:b/>
          <w:color w:val="1F4E78"/>
          <w:sz w:val="32"/>
        </w:rPr>
        <w:t>7. xCell Version</w:t>
      </w:r>
    </w:p>
    <w:p>
      <w:r>
        <w:t>- Direct Tool Version: xCell version 1.1.0</w:t>
        <w:br/>
        <w:t>- Invocation Wrapper: immunedeconv version 2.1.4 (installed from GitHub repository icbi-lab/immunedeconv)</w:t>
        <w:br/>
        <w:t>- Command Executed:</w:t>
        <w:br/>
        <w:t xml:space="preserve">  xcell_result &lt;- deconvolute(as.matrix(cd45_mapped), 'xcell')</w:t>
        <w:br/>
        <w:t>- Input Matrix: VST-normalized, gene-symbol-mapped CD45+ expression matrix containing 14,028 mapped genes across 196 leukocyte samples.</w:t>
      </w:r>
    </w:p>
    <w:p>
      <w:pPr>
        <w:spacing w:before="320" w:after="120"/>
      </w:pPr>
      <w:r>
        <w:rPr>
          <w:rFonts w:ascii="Calibri" w:hAnsi="Calibri"/>
          <w:b/>
          <w:color w:val="1F4E78"/>
          <w:sz w:val="32"/>
        </w:rPr>
        <w:t>8. Correlation Statistic Used for the 19 Paired Samples</w:t>
      </w:r>
    </w:p>
    <w:p>
      <w:r>
        <w:t>- Correlation Statistic: Spearman's rank correlation coefficient (Spearman rho).</w:t>
        <w:br/>
        <w:t>- Functions Executed: cor(..., method = 'spearman') and cor.test(..., method = 'spearman') in R.</w:t>
        <w:br/>
        <w:br/>
        <w:t>- Design of the Sensitivity Test:</w:t>
        <w:br/>
        <w:t xml:space="preserve">  Because CD45+ is a mixture of white blood cells (monocytes, neutrophils, lymphocytes), a shift in cell subtype proportions during crisis could potentially create false-positive gene rewiring. To test this, the cohort's 19 patients who had longitudinal blood draws in BOTH states (paired Steady State and VOE) were analyzed.</w:t>
        <w:br/>
        <w:br/>
        <w:t>- Variables Correlated per Patient:</w:t>
        <w:br/>
        <w:t xml:space="preserve">  1. Gene Expression Delta = (Gene Expression in VOE) minus (Gene Expression in Steady State)</w:t>
        <w:br/>
        <w:t xml:space="preserve">  2. Cell Fraction Delta = (Monocyte or Neutrophil fraction in VOE) minus (fraction in Steady State)</w:t>
        <w:br/>
        <w:br/>
        <w:t xml:space="preserve">  Spearman's rank correlation was calculated across the 19 paired patients for each of the top 50 rewired genes against Monocyte shift and Neutrophil shift.</w:t>
      </w:r>
    </w:p>
    <w:p>
      <w:pPr>
        <w:spacing w:before="320" w:after="120"/>
      </w:pPr>
      <w:r>
        <w:rPr>
          <w:rFonts w:ascii="Calibri" w:hAnsi="Calibri"/>
          <w:b/>
          <w:color w:val="1F4E78"/>
          <w:sz w:val="32"/>
        </w:rPr>
        <w:t>9. Multiple-Testing Correction Method and Significance Cut-off</w:t>
      </w:r>
    </w:p>
    <w:p>
      <w:r>
        <w:t>- Multiple-Testing Correction Method: Benjamini-Hochberg (BH) False Discovery Rate (FDR) procedure, computed in R using p.adjust(..., method = 'BH').</w:t>
        <w:br/>
        <w:br/>
        <w:t>- Significance Cut-offs Across Pipeline Analyses:</w:t>
        <w:br/>
        <w:br/>
        <w:t>1. 19-Paired Confound Sensitivity Check:</w:t>
        <w:br/>
        <w:t xml:space="preserve">   * Cut-off: FDR adjusted p-value &lt; 0.05 (alpha = 0.05).</w:t>
        <w:br/>
        <w:t xml:space="preserve">   * Outcome: Exactly 0 genes out of 49 tested reached statistical significance (lowest adjusted p-value for Monocytes was 0.0679; lowest for Neutrophils was 0.1371). This confirmed that gene network rewiring is an intrinsic transcriptional phenomenon, not an artifact of cell proportion changes.</w:t>
        <w:br/>
        <w:br/>
        <w:t>2. xCell Cell-Fraction Shift Test (Steady State vs. VOE):</w:t>
        <w:br/>
        <w:t xml:space="preserve">   * Statistical test: Two-sided Wilcoxon rank-sum test across all samples, corrected using Benjamini-Hochberg FDR.</w:t>
        <w:br/>
        <w:t xml:space="preserve">   * Cut-off: FDR adjusted p-value &lt; 0.05.</w:t>
        <w:br/>
        <w:t xml:space="preserve">   * Outcome: Both Monocytes (adjusted p = 0.00336) and Neutrophils (adjusted p = 0.00707) showed significant increases during crisis.</w:t>
        <w:br/>
        <w:br/>
        <w:t>3. CD71+ GO Biological Process Enrichment:</w:t>
        <w:br/>
        <w:t xml:space="preserve">   * Cut-off: Benjamini-Hochberg adjusted p-value &lt; 0.05 and q-value &lt; 0.05.</w:t>
        <w:br/>
        <w:t xml:space="preserve">   * Outcome: Top term 'ribonucleoprotein complex biogenesis' passed with adjusted p = 0.0168.</w:t>
        <w:br/>
        <w:br/>
        <w:t>4. Module Matching Translation Key (SS to VOE Modules):</w:t>
        <w:br/>
        <w:t xml:space="preserve">   * Statistical test: One-sided Fisher's exact test for gene set overlap across module pairs.</w:t>
        <w:br/>
        <w:t xml:space="preserve">   * Cut-off: p-value &lt; 0.05 (and Benjamini-Hochberg adjusted p-value &lt; 0.05).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