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C400" w14:textId="77777777" w:rsidR="002352E1" w:rsidRDefault="00000000">
      <w:pPr>
        <w:spacing w:after="120"/>
      </w:pPr>
      <w:r>
        <w:rPr>
          <w:b/>
          <w:bCs/>
          <w:color w:val="2E5339"/>
          <w:sz w:val="44"/>
          <w:szCs w:val="44"/>
        </w:rPr>
        <w:t>Transcriptomic Network Reorganization in Sickle Cell Disease</w:t>
      </w:r>
    </w:p>
    <w:p w14:paraId="6AD3F75C" w14:textId="77777777" w:rsidR="002352E1" w:rsidRDefault="00000000">
      <w:pPr>
        <w:spacing w:after="400"/>
      </w:pPr>
      <w:r>
        <w:rPr>
          <w:i/>
          <w:iCs/>
          <w:color w:val="555555"/>
          <w:sz w:val="24"/>
          <w:szCs w:val="24"/>
        </w:rPr>
        <w:t>A three-phase research proposal and computational architecture plan</w:t>
      </w:r>
    </w:p>
    <w:p w14:paraId="60C56993" w14:textId="77777777" w:rsidR="002352E1" w:rsidRDefault="00000000">
      <w:pPr>
        <w:spacing w:after="160" w:line="300" w:lineRule="auto"/>
        <w:jc w:val="both"/>
      </w:pPr>
      <w:r>
        <w:rPr>
          <w:b/>
          <w:bCs/>
          <w:sz w:val="22"/>
          <w:szCs w:val="22"/>
        </w:rPr>
        <w:t xml:space="preserve">Prepared by: </w:t>
      </w:r>
      <w:r>
        <w:rPr>
          <w:sz w:val="22"/>
          <w:szCs w:val="22"/>
        </w:rPr>
        <w:t>Ahan Kumar Biswal</w:t>
      </w:r>
      <w:r>
        <w:rPr>
          <w:color w:val="999999"/>
          <w:sz w:val="22"/>
          <w:szCs w:val="22"/>
        </w:rPr>
        <w:t xml:space="preserve">   |   </w:t>
      </w:r>
      <w:r>
        <w:rPr>
          <w:b/>
          <w:bCs/>
          <w:sz w:val="22"/>
          <w:szCs w:val="22"/>
        </w:rPr>
        <w:t xml:space="preserve">Affiliation: </w:t>
      </w:r>
      <w:r>
        <w:rPr>
          <w:sz w:val="22"/>
          <w:szCs w:val="22"/>
        </w:rPr>
        <w:t>Heredity Biosciences, Bhubaneswar</w:t>
      </w:r>
    </w:p>
    <w:p w14:paraId="10700EA3" w14:textId="77777777" w:rsidR="002352E1" w:rsidRDefault="00000000">
      <w:pPr>
        <w:spacing w:after="160" w:line="300" w:lineRule="auto"/>
        <w:jc w:val="both"/>
        <w:rPr>
          <w:sz w:val="22"/>
          <w:szCs w:val="22"/>
        </w:rPr>
      </w:pPr>
      <w:r>
        <w:rPr>
          <w:b/>
          <w:bCs/>
          <w:sz w:val="22"/>
          <w:szCs w:val="22"/>
        </w:rPr>
        <w:t xml:space="preserve">Date: </w:t>
      </w:r>
      <w:r>
        <w:rPr>
          <w:sz w:val="22"/>
          <w:szCs w:val="22"/>
        </w:rPr>
        <w:t>August 2026</w:t>
      </w:r>
    </w:p>
    <w:p w14:paraId="4D4303F9" w14:textId="09DFD436" w:rsidR="00341C5B" w:rsidRDefault="00341C5B">
      <w:pPr>
        <w:spacing w:after="160" w:line="300" w:lineRule="auto"/>
        <w:jc w:val="both"/>
        <w:rPr>
          <w:b/>
          <w:bCs/>
          <w:sz w:val="22"/>
          <w:szCs w:val="22"/>
          <w:u w:val="single"/>
        </w:rPr>
      </w:pPr>
      <w:r w:rsidRPr="00341C5B">
        <w:rPr>
          <w:b/>
          <w:bCs/>
          <w:sz w:val="22"/>
          <w:szCs w:val="22"/>
          <w:u w:val="single"/>
        </w:rPr>
        <w:t>Explaination In Simple Terms:-</w:t>
      </w:r>
    </w:p>
    <w:p w14:paraId="35EE3BB6" w14:textId="6CB5D144" w:rsidR="002352E1" w:rsidRDefault="00D874EF" w:rsidP="00D874EF">
      <w:pPr>
        <w:spacing w:after="160" w:line="300" w:lineRule="auto"/>
        <w:jc w:val="both"/>
        <w:rPr>
          <w:sz w:val="22"/>
          <w:szCs w:val="22"/>
        </w:rPr>
      </w:pPr>
      <w:r>
        <w:rPr>
          <w:sz w:val="22"/>
          <w:szCs w:val="22"/>
        </w:rPr>
        <w:t xml:space="preserve">I am building gene networks from sickle cell patient blood data to find genes that change their role in the network and not just their expression level when a patient goes from the steady state into a pain crisis. </w:t>
      </w:r>
    </w:p>
    <w:p w14:paraId="6731F164" w14:textId="386DD874" w:rsidR="00D874EF" w:rsidRPr="00D874EF" w:rsidRDefault="00D874EF" w:rsidP="00D874EF">
      <w:pPr>
        <w:spacing w:after="160" w:line="300" w:lineRule="auto"/>
        <w:jc w:val="both"/>
      </w:pPr>
      <w:r w:rsidRPr="00D874EF">
        <w:rPr>
          <w:b/>
          <w:bCs/>
          <w:sz w:val="22"/>
          <w:szCs w:val="22"/>
        </w:rPr>
        <w:t>Hasn’t been done before?</w:t>
      </w:r>
      <w:r>
        <w:rPr>
          <w:b/>
          <w:bCs/>
          <w:sz w:val="22"/>
          <w:szCs w:val="22"/>
        </w:rPr>
        <w:t xml:space="preserve">- </w:t>
      </w:r>
      <w:r w:rsidRPr="00D874EF">
        <w:rPr>
          <w:sz w:val="22"/>
          <w:szCs w:val="22"/>
        </w:rPr>
        <w:t>Differential expression on this exact dataset has already been published — a 4-gene signature</w:t>
      </w:r>
      <w:r>
        <w:rPr>
          <w:sz w:val="22"/>
          <w:szCs w:val="22"/>
        </w:rPr>
        <w:t>. I am not repeating that. I am asking a structurally different question: not which genes go up or down, but which genes change their position and connections in the network.</w:t>
      </w:r>
    </w:p>
    <w:p w14:paraId="0F758D50" w14:textId="77777777" w:rsidR="002352E1" w:rsidRDefault="00000000">
      <w:pPr>
        <w:pStyle w:val="Heading1"/>
        <w:pBdr>
          <w:bottom w:val="single" w:sz="6" w:space="4" w:color="2E5339"/>
        </w:pBdr>
        <w:spacing w:before="400" w:after="160"/>
      </w:pPr>
      <w:r>
        <w:rPr>
          <w:b/>
          <w:bCs/>
          <w:color w:val="2E5339"/>
          <w:sz w:val="30"/>
          <w:szCs w:val="30"/>
        </w:rPr>
        <w:t>1. Central Research Question</w:t>
      </w:r>
    </w:p>
    <w:tbl>
      <w:tblPr>
        <w:tblW w:w="5000" w:type="pct"/>
        <w:tblBorders>
          <w:top w:val="single" w:sz="4" w:space="0" w:color="2E5339"/>
          <w:left w:val="single" w:sz="4" w:space="0" w:color="2E5339"/>
          <w:bottom w:val="single" w:sz="4" w:space="0" w:color="2E5339"/>
          <w:right w:val="single" w:sz="4" w:space="0" w:color="2E533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352E1" w14:paraId="028889EE" w14:textId="77777777">
        <w:tc>
          <w:tcPr>
            <w:tcW w:w="0" w:type="auto"/>
            <w:shd w:val="clear" w:color="auto" w:fill="F2EEE6"/>
            <w:tcMar>
              <w:top w:w="160" w:type="dxa"/>
              <w:left w:w="200" w:type="dxa"/>
              <w:bottom w:w="160" w:type="dxa"/>
              <w:right w:w="200" w:type="dxa"/>
            </w:tcMar>
          </w:tcPr>
          <w:p w14:paraId="2BBAE186" w14:textId="77777777" w:rsidR="002352E1" w:rsidRDefault="00000000">
            <w:pPr>
              <w:spacing w:after="60"/>
            </w:pPr>
            <w:r>
              <w:rPr>
                <w:b/>
                <w:bCs/>
                <w:color w:val="2E5339"/>
              </w:rPr>
              <w:t>Guiding Question</w:t>
            </w:r>
          </w:p>
          <w:p w14:paraId="3B6A92A5" w14:textId="77777777" w:rsidR="002352E1" w:rsidRDefault="00000000">
            <w:pPr>
              <w:spacing w:line="280" w:lineRule="auto"/>
            </w:pPr>
            <w:r>
              <w:rPr>
                <w:color w:val="222222"/>
                <w:sz w:val="21"/>
                <w:szCs w:val="21"/>
              </w:rPr>
              <w:t>Why do genetically similar sickle cell disease patients — sharing the same HBB mutation — develop different clinical outcomes?</w:t>
            </w:r>
          </w:p>
        </w:tc>
      </w:tr>
    </w:tbl>
    <w:p w14:paraId="4B201599" w14:textId="77777777" w:rsidR="002352E1" w:rsidRDefault="002352E1">
      <w:pPr>
        <w:spacing w:after="160"/>
      </w:pPr>
    </w:p>
    <w:p w14:paraId="28E979E2" w14:textId="77777777" w:rsidR="002352E1" w:rsidRDefault="00000000">
      <w:pPr>
        <w:spacing w:after="160" w:line="300" w:lineRule="auto"/>
        <w:jc w:val="both"/>
      </w:pPr>
      <w:r>
        <w:rPr>
          <w:color w:val="222222"/>
          <w:sz w:val="22"/>
          <w:szCs w:val="22"/>
        </w:rPr>
        <w:t>This question is deliberately framed at the systems level rather than the single-gene level. The existing literature already explains a meaningful share of patient variability through genetic modifiers of fetal hemoglobin (HbF) — principally BCL11A, HBS1L-MYB, and Xmn1-HBG2 — but these loci do not account for the full picture. This project investigates a complementary and comparatively underexplored explanation: that a patient's clinical state actively reorganizes the structure of their underlying gene regulatory network, and that this reorganization — not merely which genes are up or down — helps determine outcome.</w:t>
      </w:r>
    </w:p>
    <w:p w14:paraId="1FF5A1C7" w14:textId="77777777" w:rsidR="002352E1" w:rsidRDefault="00000000">
      <w:pPr>
        <w:pStyle w:val="Heading1"/>
        <w:pBdr>
          <w:bottom w:val="single" w:sz="6" w:space="4" w:color="2E5339"/>
        </w:pBdr>
        <w:spacing w:before="400" w:after="160"/>
      </w:pPr>
      <w:r>
        <w:rPr>
          <w:b/>
          <w:bCs/>
          <w:color w:val="2E5339"/>
          <w:sz w:val="30"/>
          <w:szCs w:val="30"/>
        </w:rPr>
        <w:t>2. Rationale and Novelty</w:t>
      </w:r>
    </w:p>
    <w:p w14:paraId="2D4C1E7E" w14:textId="77777777" w:rsidR="002352E1" w:rsidRDefault="00000000">
      <w:pPr>
        <w:pStyle w:val="Heading2"/>
        <w:spacing w:before="280" w:after="120"/>
      </w:pPr>
      <w:r>
        <w:rPr>
          <w:b/>
          <w:bCs/>
          <w:color w:val="6B4226"/>
          <w:sz w:val="24"/>
          <w:szCs w:val="24"/>
        </w:rPr>
        <w:t>2.1 Why not another biomarker study</w:t>
      </w:r>
    </w:p>
    <w:p w14:paraId="5C3AA163" w14:textId="77777777" w:rsidR="002352E1" w:rsidRDefault="00000000">
      <w:pPr>
        <w:spacing w:after="160" w:line="300" w:lineRule="auto"/>
        <w:jc w:val="both"/>
      </w:pPr>
      <w:r>
        <w:rPr>
          <w:color w:val="222222"/>
          <w:sz w:val="22"/>
          <w:szCs w:val="22"/>
        </w:rPr>
        <w:t>Existing transcriptomic work on sickle cell disease (SCD), including the primary dataset used in this proposal, has already identified differentially expressed genes associated with vaso-occlusive episodes (VOE) — for example, a four-gene signature (FAM20A, IL1B, MS4A4A, SERPINB2) reported by Bhat et al. (2026). A study that simply re-runs differential expression on this or a similar dataset would add little beyond what is already published.</w:t>
      </w:r>
    </w:p>
    <w:p w14:paraId="504E3618" w14:textId="77777777" w:rsidR="002352E1" w:rsidRDefault="00000000">
      <w:pPr>
        <w:spacing w:after="160" w:line="300" w:lineRule="auto"/>
        <w:jc w:val="both"/>
      </w:pPr>
      <w:r>
        <w:rPr>
          <w:color w:val="222222"/>
          <w:sz w:val="22"/>
          <w:szCs w:val="22"/>
        </w:rPr>
        <w:t xml:space="preserve">This proposal instead asks a structurally different question: not which genes change in expression level, but which genes change their position and role within the co-expression network as the patient's clinical state changes. A gene that is only moderately differentially expressed but becomes a structurally central 'bridge' between disease modules </w:t>
      </w:r>
      <w:r>
        <w:rPr>
          <w:color w:val="222222"/>
          <w:sz w:val="22"/>
          <w:szCs w:val="22"/>
        </w:rPr>
        <w:lastRenderedPageBreak/>
        <w:t>during a crisis may be more biologically and therapeutically important than a gene with a large fold-change but no structural significance.</w:t>
      </w:r>
    </w:p>
    <w:p w14:paraId="637E1C78" w14:textId="77777777" w:rsidR="002352E1" w:rsidRDefault="00000000">
      <w:pPr>
        <w:pStyle w:val="Heading2"/>
        <w:spacing w:before="280" w:after="120"/>
      </w:pPr>
      <w:r>
        <w:rPr>
          <w:b/>
          <w:bCs/>
          <w:color w:val="6B4226"/>
          <w:sz w:val="24"/>
          <w:szCs w:val="24"/>
        </w:rPr>
        <w:t>2.2 Grounding in network medicine</w:t>
      </w:r>
    </w:p>
    <w:p w14:paraId="78171B0E" w14:textId="77777777" w:rsidR="002352E1" w:rsidRDefault="00000000">
      <w:pPr>
        <w:spacing w:after="160" w:line="300" w:lineRule="auto"/>
        <w:jc w:val="both"/>
      </w:pPr>
      <w:r>
        <w:rPr>
          <w:color w:val="222222"/>
          <w:sz w:val="22"/>
          <w:szCs w:val="22"/>
        </w:rPr>
        <w:t>This framing follows the network medicine principle that many complex diseases are better explained by disruptions to functional gene modules and their interactions than by any single causal gene. Under this view, phenotypic heterogeneity — patients with the same mutation showing different outcomes — arises naturally from differences in how the surrounding regulatory network responds and reorganizes, rather than from the mutation alone.</w:t>
      </w:r>
    </w:p>
    <w:p w14:paraId="2975E4C5" w14:textId="77777777" w:rsidR="002352E1" w:rsidRDefault="00000000">
      <w:pPr>
        <w:pStyle w:val="Heading2"/>
        <w:spacing w:before="280" w:after="120"/>
      </w:pPr>
      <w:r>
        <w:rPr>
          <w:b/>
          <w:bCs/>
          <w:color w:val="6B4226"/>
          <w:sz w:val="24"/>
          <w:szCs w:val="24"/>
        </w:rPr>
        <w:t>2.3 What is genuinely new here</w:t>
      </w:r>
    </w:p>
    <w:p w14:paraId="2AD616A2" w14:textId="77777777" w:rsidR="002352E1" w:rsidRDefault="00000000">
      <w:pPr>
        <w:pStyle w:val="ListParagraph"/>
        <w:numPr>
          <w:ilvl w:val="0"/>
          <w:numId w:val="2"/>
        </w:numPr>
        <w:spacing w:after="80" w:line="280" w:lineRule="auto"/>
      </w:pPr>
      <w:r>
        <w:rPr>
          <w:color w:val="222222"/>
          <w:sz w:val="22"/>
          <w:szCs w:val="22"/>
        </w:rPr>
        <w:t>The core contribution is the direct comparison of network structure — not just gene expression — across clinical states of the same disease.</w:t>
      </w:r>
    </w:p>
    <w:p w14:paraId="722F201D" w14:textId="77777777" w:rsidR="002352E1" w:rsidRDefault="00000000">
      <w:pPr>
        <w:pStyle w:val="ListParagraph"/>
        <w:numPr>
          <w:ilvl w:val="0"/>
          <w:numId w:val="2"/>
        </w:numPr>
        <w:spacing w:after="80" w:line="280" w:lineRule="auto"/>
      </w:pPr>
      <w:r>
        <w:rPr>
          <w:color w:val="222222"/>
          <w:sz w:val="22"/>
          <w:szCs w:val="22"/>
        </w:rPr>
        <w:t>Structurally 'rewired' genes are cross-checked against known genetic modifier loci, connecting two evidence types (expression-network and genetic) that are rarely combined in SCD literature.</w:t>
      </w:r>
    </w:p>
    <w:p w14:paraId="14EFDB85" w14:textId="77777777" w:rsidR="002352E1" w:rsidRDefault="00000000">
      <w:pPr>
        <w:pStyle w:val="ListParagraph"/>
        <w:numPr>
          <w:ilvl w:val="0"/>
          <w:numId w:val="2"/>
        </w:numPr>
        <w:spacing w:after="80" w:line="280" w:lineRule="auto"/>
      </w:pPr>
      <w:r>
        <w:rPr>
          <w:color w:val="222222"/>
          <w:sz w:val="22"/>
          <w:szCs w:val="22"/>
        </w:rPr>
        <w:t>Target selection for the translational stage follows a bridging-centrality criterion rather than raw hub degree, consistent with published target-prioritization methodology designed specifically to reduce toxicity risk.</w:t>
      </w:r>
    </w:p>
    <w:p w14:paraId="37A2F0C8" w14:textId="0EF6AE1C" w:rsidR="002352E1" w:rsidRDefault="00000000" w:rsidP="008A61D0">
      <w:pPr>
        <w:pBdr>
          <w:bottom w:val="single" w:sz="4" w:space="1" w:color="auto"/>
        </w:pBdr>
      </w:pPr>
      <w:r>
        <w:rPr>
          <w:b/>
          <w:bCs/>
          <w:color w:val="2E5339"/>
          <w:sz w:val="30"/>
          <w:szCs w:val="30"/>
        </w:rPr>
        <w:t>3. Datasets and Feasibility</w:t>
      </w:r>
    </w:p>
    <w:p w14:paraId="00FBFA1C" w14:textId="77777777" w:rsidR="002352E1" w:rsidRDefault="00000000">
      <w:pPr>
        <w:spacing w:after="160" w:line="300" w:lineRule="auto"/>
        <w:jc w:val="both"/>
      </w:pPr>
      <w:r>
        <w:rPr>
          <w:color w:val="222222"/>
          <w:sz w:val="22"/>
          <w:szCs w:val="22"/>
        </w:rPr>
        <w:t>All datasets used in this proposal are publicly available and were verified for accessibility before being incorporated into the architecture.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400"/>
        <w:gridCol w:w="1550"/>
      </w:tblGrid>
      <w:tr w:rsidR="002352E1" w14:paraId="05298C55" w14:textId="77777777" w:rsidTr="008A61D0">
        <w:trPr>
          <w:tblHeader/>
          <w:jc w:val="center"/>
        </w:trPr>
        <w:tc>
          <w:tcPr>
            <w:tcW w:w="2200" w:type="dxa"/>
            <w:shd w:val="clear" w:color="auto" w:fill="6B4226"/>
            <w:tcMar>
              <w:top w:w="100" w:type="dxa"/>
              <w:left w:w="120" w:type="dxa"/>
              <w:bottom w:w="100" w:type="dxa"/>
              <w:right w:w="120" w:type="dxa"/>
            </w:tcMar>
          </w:tcPr>
          <w:p w14:paraId="5DB6A24B" w14:textId="77777777" w:rsidR="002352E1" w:rsidRDefault="00000000">
            <w:r>
              <w:rPr>
                <w:b/>
                <w:bCs/>
                <w:color w:val="FFFFFF"/>
              </w:rPr>
              <w:t>Dataset</w:t>
            </w:r>
          </w:p>
        </w:tc>
        <w:tc>
          <w:tcPr>
            <w:tcW w:w="2200" w:type="dxa"/>
            <w:shd w:val="clear" w:color="auto" w:fill="6B4226"/>
            <w:tcMar>
              <w:top w:w="100" w:type="dxa"/>
              <w:left w:w="120" w:type="dxa"/>
              <w:bottom w:w="100" w:type="dxa"/>
              <w:right w:w="120" w:type="dxa"/>
            </w:tcMar>
          </w:tcPr>
          <w:p w14:paraId="427CF1D6" w14:textId="77777777" w:rsidR="002352E1" w:rsidRDefault="00000000">
            <w:r>
              <w:rPr>
                <w:b/>
                <w:bCs/>
                <w:color w:val="FFFFFF"/>
              </w:rPr>
              <w:t>Role</w:t>
            </w:r>
          </w:p>
        </w:tc>
        <w:tc>
          <w:tcPr>
            <w:tcW w:w="3400" w:type="dxa"/>
            <w:shd w:val="clear" w:color="auto" w:fill="6B4226"/>
            <w:tcMar>
              <w:top w:w="100" w:type="dxa"/>
              <w:left w:w="120" w:type="dxa"/>
              <w:bottom w:w="100" w:type="dxa"/>
              <w:right w:w="120" w:type="dxa"/>
            </w:tcMar>
          </w:tcPr>
          <w:p w14:paraId="4E5674D6" w14:textId="77777777" w:rsidR="002352E1" w:rsidRDefault="00000000">
            <w:r>
              <w:rPr>
                <w:b/>
                <w:bCs/>
                <w:color w:val="FFFFFF"/>
              </w:rPr>
              <w:t>Design</w:t>
            </w:r>
          </w:p>
        </w:tc>
        <w:tc>
          <w:tcPr>
            <w:tcW w:w="1550" w:type="dxa"/>
            <w:shd w:val="clear" w:color="auto" w:fill="6B4226"/>
            <w:tcMar>
              <w:top w:w="100" w:type="dxa"/>
              <w:left w:w="120" w:type="dxa"/>
              <w:bottom w:w="100" w:type="dxa"/>
              <w:right w:w="120" w:type="dxa"/>
            </w:tcMar>
          </w:tcPr>
          <w:p w14:paraId="65CD0444" w14:textId="77777777" w:rsidR="002352E1" w:rsidRDefault="00000000">
            <w:r>
              <w:rPr>
                <w:b/>
                <w:bCs/>
                <w:color w:val="FFFFFF"/>
              </w:rPr>
              <w:t>Sample Size</w:t>
            </w:r>
          </w:p>
        </w:tc>
      </w:tr>
      <w:tr w:rsidR="002352E1" w14:paraId="74AE4678" w14:textId="77777777" w:rsidTr="008A61D0">
        <w:trPr>
          <w:jc w:val="center"/>
        </w:trPr>
        <w:tc>
          <w:tcPr>
            <w:tcW w:w="2200" w:type="dxa"/>
            <w:shd w:val="clear" w:color="auto" w:fill="FFFFFF"/>
            <w:tcMar>
              <w:top w:w="90" w:type="dxa"/>
              <w:left w:w="120" w:type="dxa"/>
              <w:bottom w:w="90" w:type="dxa"/>
              <w:right w:w="120" w:type="dxa"/>
            </w:tcMar>
          </w:tcPr>
          <w:p w14:paraId="25F95460" w14:textId="77777777" w:rsidR="002352E1" w:rsidRDefault="00000000">
            <w:pPr>
              <w:spacing w:line="260" w:lineRule="auto"/>
            </w:pPr>
            <w:r>
              <w:rPr>
                <w:color w:val="222222"/>
                <w:sz w:val="19"/>
                <w:szCs w:val="19"/>
              </w:rPr>
              <w:t>GSE291257</w:t>
            </w:r>
          </w:p>
        </w:tc>
        <w:tc>
          <w:tcPr>
            <w:tcW w:w="2200" w:type="dxa"/>
            <w:shd w:val="clear" w:color="auto" w:fill="FFFFFF"/>
            <w:tcMar>
              <w:top w:w="90" w:type="dxa"/>
              <w:left w:w="120" w:type="dxa"/>
              <w:bottom w:w="90" w:type="dxa"/>
              <w:right w:w="120" w:type="dxa"/>
            </w:tcMar>
          </w:tcPr>
          <w:p w14:paraId="6926A2E4" w14:textId="77777777" w:rsidR="002352E1" w:rsidRDefault="00000000">
            <w:pPr>
              <w:spacing w:line="260" w:lineRule="auto"/>
            </w:pPr>
            <w:r>
              <w:rPr>
                <w:color w:val="222222"/>
                <w:sz w:val="19"/>
                <w:szCs w:val="19"/>
              </w:rPr>
              <w:t>Primary dataset</w:t>
            </w:r>
          </w:p>
        </w:tc>
        <w:tc>
          <w:tcPr>
            <w:tcW w:w="3400" w:type="dxa"/>
            <w:shd w:val="clear" w:color="auto" w:fill="FFFFFF"/>
            <w:tcMar>
              <w:top w:w="90" w:type="dxa"/>
              <w:left w:w="120" w:type="dxa"/>
              <w:bottom w:w="90" w:type="dxa"/>
              <w:right w:w="120" w:type="dxa"/>
            </w:tcMar>
          </w:tcPr>
          <w:p w14:paraId="0A43F1A1" w14:textId="77777777" w:rsidR="002352E1" w:rsidRDefault="00000000">
            <w:pPr>
              <w:spacing w:line="260" w:lineRule="auto"/>
            </w:pPr>
            <w:r>
              <w:rPr>
                <w:color w:val="222222"/>
                <w:sz w:val="19"/>
                <w:szCs w:val="19"/>
              </w:rPr>
              <w:t>Longitudinal, steady-state vs. vaso-occlusive episode (VOE); CD45+ leukocyte and CD71+ erythroid RNA-seq</w:t>
            </w:r>
          </w:p>
        </w:tc>
        <w:tc>
          <w:tcPr>
            <w:tcW w:w="1550" w:type="dxa"/>
            <w:shd w:val="clear" w:color="auto" w:fill="FFFFFF"/>
            <w:tcMar>
              <w:top w:w="90" w:type="dxa"/>
              <w:left w:w="120" w:type="dxa"/>
              <w:bottom w:w="90" w:type="dxa"/>
              <w:right w:w="120" w:type="dxa"/>
            </w:tcMar>
          </w:tcPr>
          <w:p w14:paraId="6B995712" w14:textId="77777777" w:rsidR="002352E1" w:rsidRDefault="00000000">
            <w:pPr>
              <w:spacing w:line="260" w:lineRule="auto"/>
            </w:pPr>
            <w:r>
              <w:rPr>
                <w:color w:val="222222"/>
                <w:sz w:val="19"/>
                <w:szCs w:val="19"/>
              </w:rPr>
              <w:t>174 patients (197 CD45+ samples, 180 CD71+ samples)</w:t>
            </w:r>
          </w:p>
        </w:tc>
      </w:tr>
      <w:tr w:rsidR="002352E1" w14:paraId="1AC41AEC" w14:textId="77777777" w:rsidTr="008A61D0">
        <w:trPr>
          <w:jc w:val="center"/>
        </w:trPr>
        <w:tc>
          <w:tcPr>
            <w:tcW w:w="2200" w:type="dxa"/>
            <w:shd w:val="clear" w:color="auto" w:fill="F2EEE6"/>
            <w:tcMar>
              <w:top w:w="90" w:type="dxa"/>
              <w:left w:w="120" w:type="dxa"/>
              <w:bottom w:w="90" w:type="dxa"/>
              <w:right w:w="120" w:type="dxa"/>
            </w:tcMar>
          </w:tcPr>
          <w:p w14:paraId="5CD27063" w14:textId="77777777" w:rsidR="002352E1" w:rsidRDefault="00000000">
            <w:pPr>
              <w:spacing w:line="260" w:lineRule="auto"/>
            </w:pPr>
            <w:r>
              <w:rPr>
                <w:color w:val="222222"/>
                <w:sz w:val="19"/>
                <w:szCs w:val="19"/>
              </w:rPr>
              <w:t>GSE139912</w:t>
            </w:r>
          </w:p>
        </w:tc>
        <w:tc>
          <w:tcPr>
            <w:tcW w:w="2200" w:type="dxa"/>
            <w:shd w:val="clear" w:color="auto" w:fill="F2EEE6"/>
            <w:tcMar>
              <w:top w:w="90" w:type="dxa"/>
              <w:left w:w="120" w:type="dxa"/>
              <w:bottom w:w="90" w:type="dxa"/>
              <w:right w:w="120" w:type="dxa"/>
            </w:tcMar>
          </w:tcPr>
          <w:p w14:paraId="102E7D7B" w14:textId="77777777" w:rsidR="002352E1" w:rsidRDefault="00000000">
            <w:pPr>
              <w:spacing w:line="260" w:lineRule="auto"/>
            </w:pPr>
            <w:r>
              <w:rPr>
                <w:color w:val="222222"/>
                <w:sz w:val="19"/>
                <w:szCs w:val="19"/>
              </w:rPr>
              <w:t>Independent validation set</w:t>
            </w:r>
          </w:p>
        </w:tc>
        <w:tc>
          <w:tcPr>
            <w:tcW w:w="3400" w:type="dxa"/>
            <w:shd w:val="clear" w:color="auto" w:fill="F2EEE6"/>
            <w:tcMar>
              <w:top w:w="90" w:type="dxa"/>
              <w:left w:w="120" w:type="dxa"/>
              <w:bottom w:w="90" w:type="dxa"/>
              <w:right w:w="120" w:type="dxa"/>
            </w:tcMar>
          </w:tcPr>
          <w:p w14:paraId="6290804B" w14:textId="77777777" w:rsidR="002352E1" w:rsidRDefault="00000000">
            <w:pPr>
              <w:spacing w:line="260" w:lineRule="auto"/>
            </w:pPr>
            <w:r>
              <w:rPr>
                <w:color w:val="222222"/>
                <w:sz w:val="19"/>
                <w:szCs w:val="19"/>
              </w:rPr>
              <w:t>Whole blood RNA-seq; baseline vs. acute chest syndrome (ACS) vs. vaso-occlusive crisis (VOC)</w:t>
            </w:r>
          </w:p>
        </w:tc>
        <w:tc>
          <w:tcPr>
            <w:tcW w:w="1550" w:type="dxa"/>
            <w:shd w:val="clear" w:color="auto" w:fill="F2EEE6"/>
            <w:tcMar>
              <w:top w:w="90" w:type="dxa"/>
              <w:left w:w="120" w:type="dxa"/>
              <w:bottom w:w="90" w:type="dxa"/>
              <w:right w:w="120" w:type="dxa"/>
            </w:tcMar>
          </w:tcPr>
          <w:p w14:paraId="5C96A851" w14:textId="77777777" w:rsidR="002352E1" w:rsidRDefault="00000000">
            <w:pPr>
              <w:spacing w:line="260" w:lineRule="auto"/>
            </w:pPr>
            <w:r>
              <w:rPr>
                <w:color w:val="222222"/>
                <w:sz w:val="19"/>
                <w:szCs w:val="19"/>
              </w:rPr>
              <w:t>20 children (10 ACS, 10 VOC, matched baseline)</w:t>
            </w:r>
          </w:p>
        </w:tc>
      </w:tr>
      <w:tr w:rsidR="002352E1" w14:paraId="08E920B4" w14:textId="77777777" w:rsidTr="008A61D0">
        <w:trPr>
          <w:jc w:val="center"/>
        </w:trPr>
        <w:tc>
          <w:tcPr>
            <w:tcW w:w="2200" w:type="dxa"/>
            <w:shd w:val="clear" w:color="auto" w:fill="FFFFFF"/>
            <w:tcMar>
              <w:top w:w="90" w:type="dxa"/>
              <w:left w:w="120" w:type="dxa"/>
              <w:bottom w:w="90" w:type="dxa"/>
              <w:right w:w="120" w:type="dxa"/>
            </w:tcMar>
          </w:tcPr>
          <w:p w14:paraId="70498DFF" w14:textId="77777777" w:rsidR="002352E1" w:rsidRDefault="00000000">
            <w:pPr>
              <w:spacing w:line="260" w:lineRule="auto"/>
            </w:pPr>
            <w:r>
              <w:rPr>
                <w:color w:val="222222"/>
                <w:sz w:val="19"/>
                <w:szCs w:val="19"/>
              </w:rPr>
              <w:t>GSE72999</w:t>
            </w:r>
          </w:p>
        </w:tc>
        <w:tc>
          <w:tcPr>
            <w:tcW w:w="2200" w:type="dxa"/>
            <w:shd w:val="clear" w:color="auto" w:fill="FFFFFF"/>
            <w:tcMar>
              <w:top w:w="90" w:type="dxa"/>
              <w:left w:w="120" w:type="dxa"/>
              <w:bottom w:w="90" w:type="dxa"/>
              <w:right w:w="120" w:type="dxa"/>
            </w:tcMar>
          </w:tcPr>
          <w:p w14:paraId="50D96DAA" w14:textId="77777777" w:rsidR="002352E1" w:rsidRDefault="00000000">
            <w:pPr>
              <w:spacing w:line="260" w:lineRule="auto"/>
            </w:pPr>
            <w:r>
              <w:rPr>
                <w:color w:val="222222"/>
                <w:sz w:val="19"/>
                <w:szCs w:val="19"/>
              </w:rPr>
              <w:t>Secondary backup / cross-check</w:t>
            </w:r>
          </w:p>
        </w:tc>
        <w:tc>
          <w:tcPr>
            <w:tcW w:w="3400" w:type="dxa"/>
            <w:shd w:val="clear" w:color="auto" w:fill="FFFFFF"/>
            <w:tcMar>
              <w:top w:w="90" w:type="dxa"/>
              <w:left w:w="120" w:type="dxa"/>
              <w:bottom w:w="90" w:type="dxa"/>
              <w:right w:w="120" w:type="dxa"/>
            </w:tcMar>
          </w:tcPr>
          <w:p w14:paraId="405100AE" w14:textId="77777777" w:rsidR="002352E1" w:rsidRDefault="00000000">
            <w:pPr>
              <w:spacing w:line="260" w:lineRule="auto"/>
            </w:pPr>
            <w:r>
              <w:rPr>
                <w:color w:val="222222"/>
                <w:sz w:val="19"/>
                <w:szCs w:val="19"/>
              </w:rPr>
              <w:t>Independent cohort, steady-state vs. VOE</w:t>
            </w:r>
          </w:p>
        </w:tc>
        <w:tc>
          <w:tcPr>
            <w:tcW w:w="1550" w:type="dxa"/>
            <w:shd w:val="clear" w:color="auto" w:fill="FFFFFF"/>
            <w:tcMar>
              <w:top w:w="90" w:type="dxa"/>
              <w:left w:w="120" w:type="dxa"/>
              <w:bottom w:w="90" w:type="dxa"/>
              <w:right w:w="120" w:type="dxa"/>
            </w:tcMar>
          </w:tcPr>
          <w:p w14:paraId="7E93D897" w14:textId="77777777" w:rsidR="002352E1" w:rsidRDefault="00000000">
            <w:pPr>
              <w:spacing w:line="260" w:lineRule="auto"/>
            </w:pPr>
            <w:r>
              <w:rPr>
                <w:color w:val="222222"/>
                <w:sz w:val="19"/>
                <w:szCs w:val="19"/>
              </w:rPr>
              <w:t>20 subjects</w:t>
            </w:r>
          </w:p>
        </w:tc>
      </w:tr>
    </w:tbl>
    <w:p w14:paraId="72985901" w14:textId="77777777" w:rsidR="002352E1" w:rsidRDefault="002352E1">
      <w:pPr>
        <w:spacing w:after="200"/>
      </w:pPr>
    </w:p>
    <w:p w14:paraId="599B5D5E" w14:textId="77777777" w:rsidR="002352E1" w:rsidRDefault="00000000">
      <w:pPr>
        <w:pStyle w:val="Heading2"/>
        <w:spacing w:before="280" w:after="120"/>
      </w:pPr>
      <w:r>
        <w:rPr>
          <w:b/>
          <w:bCs/>
          <w:color w:val="6B4226"/>
          <w:sz w:val="24"/>
          <w:szCs w:val="24"/>
        </w:rPr>
        <w:t>3.1 A note on comparability across datasets</w:t>
      </w:r>
    </w:p>
    <w:p w14:paraId="3859CF77" w14:textId="77777777" w:rsidR="002352E1" w:rsidRDefault="00000000">
      <w:pPr>
        <w:spacing w:after="160" w:line="300" w:lineRule="auto"/>
        <w:jc w:val="both"/>
      </w:pPr>
      <w:r>
        <w:rPr>
          <w:color w:val="222222"/>
          <w:sz w:val="22"/>
          <w:szCs w:val="22"/>
        </w:rPr>
        <w:t>GSE291257 uses sorted cell populations (CD45+ and CD71+), while GSE139912 uses unsorted whole blood. Because whole blood contains a variable mixture of cell types, a direct structural comparison of co-expression networks built from these two datasets would risk confusing genuine disease-driven network reorganization with a simple difference in cell composition between samples. This is a well-recognised confound in cross-dataset transcriptomic comparisons and is addressed explicitly in the architecture below rather than overlooked.</w:t>
      </w:r>
    </w:p>
    <w:p w14:paraId="6878ECC8" w14:textId="77777777" w:rsidR="002352E1" w:rsidRDefault="00000000">
      <w:pPr>
        <w:pStyle w:val="Heading1"/>
        <w:pBdr>
          <w:bottom w:val="single" w:sz="6" w:space="4" w:color="2E5339"/>
        </w:pBdr>
        <w:spacing w:before="400" w:after="160"/>
      </w:pPr>
      <w:r>
        <w:rPr>
          <w:b/>
          <w:bCs/>
          <w:color w:val="2E5339"/>
          <w:sz w:val="30"/>
          <w:szCs w:val="30"/>
        </w:rPr>
        <w:t>4. Final Architecture</w:t>
      </w:r>
    </w:p>
    <w:p w14:paraId="0220ABB9" w14:textId="77777777" w:rsidR="002352E1" w:rsidRDefault="00000000">
      <w:pPr>
        <w:spacing w:after="160" w:line="300" w:lineRule="auto"/>
        <w:jc w:val="both"/>
      </w:pPr>
      <w:r>
        <w:rPr>
          <w:color w:val="222222"/>
          <w:sz w:val="22"/>
          <w:szCs w:val="22"/>
        </w:rPr>
        <w:lastRenderedPageBreak/>
        <w:t xml:space="preserve">The architecture is organized as a single analytical pipeline expressed across </w:t>
      </w:r>
      <w:r w:rsidRPr="008A61D0">
        <w:rPr>
          <w:b/>
          <w:bCs/>
          <w:color w:val="222222"/>
          <w:sz w:val="22"/>
          <w:szCs w:val="22"/>
        </w:rPr>
        <w:t>three publication-ready phases</w:t>
      </w:r>
      <w:r>
        <w:rPr>
          <w:color w:val="222222"/>
          <w:sz w:val="22"/>
          <w:szCs w:val="22"/>
        </w:rPr>
        <w:t>. Each phase produces a complete, independently defensible scientific claim, and the output of each phase becomes the direct input to the next.</w:t>
      </w:r>
    </w:p>
    <w:p w14:paraId="3A687D5F" w14:textId="77777777" w:rsidR="002352E1" w:rsidRDefault="00000000">
      <w:pPr>
        <w:pStyle w:val="Heading2"/>
        <w:spacing w:before="280" w:after="120"/>
      </w:pPr>
      <w:r>
        <w:rPr>
          <w:b/>
          <w:bCs/>
          <w:color w:val="6B4226"/>
          <w:sz w:val="24"/>
          <w:szCs w:val="24"/>
        </w:rPr>
        <w:t>4.1 Pipeline overview</w:t>
      </w:r>
    </w:p>
    <w:p w14:paraId="559E82F3" w14:textId="77777777" w:rsidR="002352E1" w:rsidRDefault="00000000">
      <w:pPr>
        <w:pStyle w:val="ListParagraph"/>
        <w:numPr>
          <w:ilvl w:val="0"/>
          <w:numId w:val="2"/>
        </w:numPr>
        <w:spacing w:after="80" w:line="280" w:lineRule="auto"/>
      </w:pPr>
      <w:r>
        <w:rPr>
          <w:color w:val="222222"/>
          <w:sz w:val="22"/>
          <w:szCs w:val="22"/>
        </w:rPr>
        <w:t>Stage 1 — Build separate gene co-expression networks for steady-state and VOE using GSE291257 (same cell types throughout, internally consistent).</w:t>
      </w:r>
    </w:p>
    <w:p w14:paraId="3D12822A" w14:textId="77777777" w:rsidR="002352E1" w:rsidRDefault="00000000">
      <w:pPr>
        <w:pStyle w:val="ListParagraph"/>
        <w:numPr>
          <w:ilvl w:val="0"/>
          <w:numId w:val="2"/>
        </w:numPr>
        <w:spacing w:after="80" w:line="280" w:lineRule="auto"/>
      </w:pPr>
      <w:r>
        <w:rPr>
          <w:color w:val="222222"/>
          <w:sz w:val="22"/>
          <w:szCs w:val="22"/>
        </w:rPr>
        <w:t>Stage 2 — Compare network structure between the two states to identify genes whose connectivity or module membership shifts with clinical state ('rewired' genes), rather than relying on differential expression alone.</w:t>
      </w:r>
    </w:p>
    <w:p w14:paraId="0A184F97" w14:textId="77777777" w:rsidR="002352E1" w:rsidRDefault="00000000">
      <w:pPr>
        <w:pStyle w:val="ListParagraph"/>
        <w:numPr>
          <w:ilvl w:val="0"/>
          <w:numId w:val="2"/>
        </w:numPr>
        <w:spacing w:after="80" w:line="280" w:lineRule="auto"/>
      </w:pPr>
      <w:r>
        <w:rPr>
          <w:color w:val="222222"/>
          <w:sz w:val="22"/>
          <w:szCs w:val="22"/>
        </w:rPr>
        <w:t>Stage 3 — Validate top rewired genes independently in GSE139912 by checking whether the same genes shift between baseline and ACS/VOC, treating this as a replication check rather than a structural network comparison, in order to avoid the cell-composition confound described in Section 3.1.</w:t>
      </w:r>
    </w:p>
    <w:p w14:paraId="61B20E86" w14:textId="77777777" w:rsidR="002352E1" w:rsidRDefault="00000000">
      <w:pPr>
        <w:pStyle w:val="ListParagraph"/>
        <w:numPr>
          <w:ilvl w:val="0"/>
          <w:numId w:val="2"/>
        </w:numPr>
        <w:spacing w:after="80" w:line="280" w:lineRule="auto"/>
      </w:pPr>
      <w:r>
        <w:rPr>
          <w:color w:val="222222"/>
          <w:sz w:val="22"/>
          <w:szCs w:val="22"/>
        </w:rPr>
        <w:t>Stage 4 — Cross-reference rewired and validated genes against known SCD severity and HbF-modifier loci (BCL11A, HBS1L-MYB, HBA and related loci) using GWAS Catalog, as a lightweight literature-curated layer rather than a raw genotyping pipeline.</w:t>
      </w:r>
    </w:p>
    <w:p w14:paraId="06E40D24" w14:textId="77777777" w:rsidR="002352E1" w:rsidRDefault="00000000">
      <w:pPr>
        <w:pStyle w:val="ListParagraph"/>
        <w:numPr>
          <w:ilvl w:val="0"/>
          <w:numId w:val="2"/>
        </w:numPr>
        <w:spacing w:after="80" w:line="280" w:lineRule="auto"/>
      </w:pPr>
      <w:r>
        <w:rPr>
          <w:color w:val="222222"/>
          <w:sz w:val="22"/>
          <w:szCs w:val="22"/>
        </w:rPr>
        <w:t>Stage 5 — Prioritize druggable targets among the convergent gene set using bridging-centrality (not raw hub degree), following the topological and pharmacological selection criteria established in prior network-based drug-target literature.</w:t>
      </w:r>
    </w:p>
    <w:p w14:paraId="75D8C51D" w14:textId="77777777" w:rsidR="002352E1" w:rsidRDefault="00000000">
      <w:pPr>
        <w:pStyle w:val="ListParagraph"/>
        <w:numPr>
          <w:ilvl w:val="0"/>
          <w:numId w:val="2"/>
        </w:numPr>
        <w:spacing w:after="80" w:line="280" w:lineRule="auto"/>
      </w:pPr>
      <w:r>
        <w:rPr>
          <w:color w:val="222222"/>
          <w:sz w:val="22"/>
          <w:szCs w:val="22"/>
        </w:rPr>
        <w:t>Stage 6 — Shortlist repurposing candidates from DrugBank and ChEMBL against prioritized targets.</w:t>
      </w:r>
    </w:p>
    <w:p w14:paraId="180EDBBB" w14:textId="77777777" w:rsidR="002352E1" w:rsidRDefault="00000000">
      <w:pPr>
        <w:pStyle w:val="ListParagraph"/>
        <w:numPr>
          <w:ilvl w:val="0"/>
          <w:numId w:val="2"/>
        </w:numPr>
        <w:spacing w:after="80" w:line="280" w:lineRule="auto"/>
      </w:pPr>
      <w:r>
        <w:rPr>
          <w:color w:val="222222"/>
          <w:sz w:val="22"/>
          <w:szCs w:val="22"/>
        </w:rPr>
        <w:t>Stage 7 — Molecular docking of shortlisted compounds against top targets, followed by molecular dynamics (MD) simulation to validate the strongest candidate(s).</w:t>
      </w:r>
    </w:p>
    <w:p w14:paraId="0D104185" w14:textId="77777777" w:rsidR="002352E1" w:rsidRDefault="00000000">
      <w:pPr>
        <w:pStyle w:val="Heading2"/>
        <w:spacing w:before="280" w:after="120"/>
      </w:pPr>
      <w:r>
        <w:rPr>
          <w:b/>
          <w:bCs/>
          <w:color w:val="6B4226"/>
          <w:sz w:val="24"/>
          <w:szCs w:val="24"/>
        </w:rPr>
        <w:t>4.2 Handling the cross-dataset comparability issue</w:t>
      </w:r>
    </w:p>
    <w:p w14:paraId="43AE41B7" w14:textId="77777777" w:rsidR="002352E1" w:rsidRDefault="00000000">
      <w:pPr>
        <w:spacing w:after="160" w:line="300" w:lineRule="auto"/>
        <w:jc w:val="both"/>
      </w:pPr>
      <w:r>
        <w:rPr>
          <w:color w:val="222222"/>
          <w:sz w:val="22"/>
          <w:szCs w:val="22"/>
        </w:rPr>
        <w:t>Rather than building a three-way structural network comparison across datasets with different sample compositions, the architecture treats GSE291257 as the sole basis for network construction and structural comparison (Stages 1–2), since both its clinical states share identical cell-sorting protocols. GSE139912 is deliberately used only at the gene level (Stage 3) — asking whether specific candidate genes replicate in an independent, differently-composed cohort — which is a standard and defensible cross-cohort replication strategy rather than an attempt to force comparability where none exists. This keeps the core structural claim clean while still incorporating a third clinical phenotype (ACS) as supporting evidence.</w:t>
      </w:r>
    </w:p>
    <w:p w14:paraId="3B2EDAFF" w14:textId="183B6D58" w:rsidR="002352E1" w:rsidRDefault="00000000" w:rsidP="008A61D0">
      <w:pPr>
        <w:pBdr>
          <w:bottom w:val="single" w:sz="4" w:space="1" w:color="auto"/>
        </w:pBdr>
      </w:pPr>
      <w:r>
        <w:rPr>
          <w:b/>
          <w:bCs/>
          <w:color w:val="2E5339"/>
          <w:sz w:val="30"/>
          <w:szCs w:val="30"/>
        </w:rPr>
        <w:t>5. Three-Phase Publication Plan</w:t>
      </w:r>
    </w:p>
    <w:p w14:paraId="0F94457A" w14:textId="77777777" w:rsidR="002352E1" w:rsidRDefault="00000000">
      <w:pPr>
        <w:spacing w:after="160" w:line="300" w:lineRule="auto"/>
        <w:jc w:val="both"/>
      </w:pPr>
      <w:r>
        <w:rPr>
          <w:color w:val="222222"/>
          <w:sz w:val="22"/>
          <w:szCs w:val="22"/>
        </w:rPr>
        <w:t>The architecture is deliberately divided into three phases, each corresponding to a complete and independently publishable unit of work. This structure was adopted on the recommendation that a single, large integrated paper carries higher execution risk and a longer timeline than three sequential, self-contained contributions.</w:t>
      </w:r>
    </w:p>
    <w:p w14:paraId="463A0ED2" w14:textId="77777777" w:rsidR="002352E1" w:rsidRDefault="00000000">
      <w:pPr>
        <w:pStyle w:val="Heading2"/>
        <w:spacing w:before="280" w:after="120"/>
      </w:pPr>
      <w:r>
        <w:rPr>
          <w:b/>
          <w:bCs/>
          <w:color w:val="6B4226"/>
          <w:sz w:val="24"/>
          <w:szCs w:val="24"/>
        </w:rPr>
        <w:t>Phase 1 — Network Reorganization Across Clinical States</w:t>
      </w:r>
    </w:p>
    <w:p w14:paraId="3C575C4A" w14:textId="77777777" w:rsidR="002352E1" w:rsidRDefault="00000000">
      <w:pPr>
        <w:spacing w:after="160" w:line="300" w:lineRule="auto"/>
        <w:jc w:val="both"/>
      </w:pPr>
      <w:r>
        <w:rPr>
          <w:i/>
          <w:iCs/>
          <w:color w:val="555555"/>
          <w:sz w:val="21"/>
          <w:szCs w:val="21"/>
        </w:rPr>
        <w:t>Corresponds to architecture Stages 1–2.</w:t>
      </w:r>
    </w:p>
    <w:p w14:paraId="7E7C6017" w14:textId="77777777" w:rsidR="002352E1" w:rsidRDefault="00000000">
      <w:pPr>
        <w:pStyle w:val="ListParagraph"/>
        <w:numPr>
          <w:ilvl w:val="0"/>
          <w:numId w:val="2"/>
        </w:numPr>
        <w:spacing w:after="80" w:line="280" w:lineRule="auto"/>
      </w:pPr>
      <w:r>
        <w:rPr>
          <w:color w:val="222222"/>
          <w:sz w:val="22"/>
          <w:szCs w:val="22"/>
        </w:rPr>
        <w:t>Method: Co-expression network construction (WGCNA-style) on GSE291257 steady-state and VOE samples, followed by structural comparison of module composition and node centrality between the two networks.</w:t>
      </w:r>
    </w:p>
    <w:p w14:paraId="047F5110" w14:textId="77777777" w:rsidR="002352E1" w:rsidRDefault="00000000">
      <w:pPr>
        <w:pStyle w:val="ListParagraph"/>
        <w:numPr>
          <w:ilvl w:val="0"/>
          <w:numId w:val="2"/>
        </w:numPr>
        <w:spacing w:after="80" w:line="280" w:lineRule="auto"/>
      </w:pPr>
      <w:r>
        <w:rPr>
          <w:color w:val="222222"/>
          <w:sz w:val="22"/>
          <w:szCs w:val="22"/>
        </w:rPr>
        <w:lastRenderedPageBreak/>
        <w:t>Claim: Clinical state (steady-state vs. VOE) is associated with measurable reorganization of the underlying gene regulatory network structure, beyond what differential expression alone captures.</w:t>
      </w:r>
    </w:p>
    <w:p w14:paraId="23558C49" w14:textId="77777777" w:rsidR="002352E1" w:rsidRDefault="00000000">
      <w:pPr>
        <w:pStyle w:val="ListParagraph"/>
        <w:numPr>
          <w:ilvl w:val="0"/>
          <w:numId w:val="2"/>
        </w:numPr>
        <w:spacing w:after="80" w:line="280" w:lineRule="auto"/>
      </w:pPr>
      <w:r>
        <w:rPr>
          <w:color w:val="222222"/>
          <w:sz w:val="22"/>
          <w:szCs w:val="22"/>
        </w:rPr>
        <w:t>Standalone value: Complete and publishable without requiring genetic modifier data, target prioritization, or docking results.</w:t>
      </w:r>
    </w:p>
    <w:p w14:paraId="23F38C36" w14:textId="77777777" w:rsidR="002352E1" w:rsidRDefault="00000000">
      <w:pPr>
        <w:pStyle w:val="Heading2"/>
        <w:spacing w:before="280" w:after="120"/>
      </w:pPr>
      <w:r>
        <w:rPr>
          <w:b/>
          <w:bCs/>
          <w:color w:val="6B4226"/>
          <w:sz w:val="24"/>
          <w:szCs w:val="24"/>
        </w:rPr>
        <w:t>Phase 2 — Genetic Modifier Convergence</w:t>
      </w:r>
    </w:p>
    <w:p w14:paraId="5156B63A" w14:textId="77777777" w:rsidR="002352E1" w:rsidRDefault="00000000">
      <w:pPr>
        <w:spacing w:after="160" w:line="300" w:lineRule="auto"/>
        <w:jc w:val="both"/>
      </w:pPr>
      <w:r>
        <w:rPr>
          <w:i/>
          <w:iCs/>
          <w:color w:val="555555"/>
          <w:sz w:val="21"/>
          <w:szCs w:val="21"/>
        </w:rPr>
        <w:t>Corresponds to architecture Stages 3–4.</w:t>
      </w:r>
    </w:p>
    <w:p w14:paraId="0699BB45" w14:textId="77777777" w:rsidR="002352E1" w:rsidRDefault="00000000">
      <w:pPr>
        <w:pStyle w:val="ListParagraph"/>
        <w:numPr>
          <w:ilvl w:val="0"/>
          <w:numId w:val="2"/>
        </w:numPr>
        <w:spacing w:after="80" w:line="280" w:lineRule="auto"/>
      </w:pPr>
      <w:r>
        <w:rPr>
          <w:color w:val="222222"/>
          <w:sz w:val="22"/>
          <w:szCs w:val="22"/>
        </w:rPr>
        <w:t>Method: Independent replication of Phase 1's candidate genes in GSE139912 (baseline vs. ACS/VOC), followed by cross-reference of validated genes against known HbF-modifier and severity loci from GWAS Catalog.</w:t>
      </w:r>
    </w:p>
    <w:p w14:paraId="52B204A1" w14:textId="77777777" w:rsidR="002352E1" w:rsidRDefault="00000000">
      <w:pPr>
        <w:pStyle w:val="ListParagraph"/>
        <w:numPr>
          <w:ilvl w:val="0"/>
          <w:numId w:val="2"/>
        </w:numPr>
        <w:spacing w:after="80" w:line="280" w:lineRule="auto"/>
      </w:pPr>
      <w:r>
        <w:rPr>
          <w:color w:val="222222"/>
          <w:sz w:val="22"/>
          <w:szCs w:val="22"/>
        </w:rPr>
        <w:t>Claim: A subset of network-rewired genes is independently replicated in a second cohort and converges with established genetic modifiers of disease severity — directly addressing why patients with identical mutations diverge clinically.</w:t>
      </w:r>
    </w:p>
    <w:p w14:paraId="12688808" w14:textId="77777777" w:rsidR="002352E1" w:rsidRDefault="00000000">
      <w:pPr>
        <w:pStyle w:val="ListParagraph"/>
        <w:numPr>
          <w:ilvl w:val="0"/>
          <w:numId w:val="2"/>
        </w:numPr>
        <w:spacing w:after="80" w:line="280" w:lineRule="auto"/>
      </w:pPr>
      <w:r>
        <w:rPr>
          <w:color w:val="222222"/>
          <w:sz w:val="22"/>
          <w:szCs w:val="22"/>
        </w:rPr>
        <w:t>Standalone value: This is the phase that most directly answers the central research question and is best suited to a disease-focused, clinically-oriented readership.</w:t>
      </w:r>
    </w:p>
    <w:p w14:paraId="4F3751D4" w14:textId="77777777" w:rsidR="002352E1" w:rsidRDefault="00000000">
      <w:pPr>
        <w:pStyle w:val="Heading2"/>
        <w:spacing w:before="280" w:after="120"/>
      </w:pPr>
      <w:r>
        <w:rPr>
          <w:b/>
          <w:bCs/>
          <w:color w:val="6B4226"/>
          <w:sz w:val="24"/>
          <w:szCs w:val="24"/>
        </w:rPr>
        <w:t>Phase 3 — Target Prioritization, Repurposing, and Validation</w:t>
      </w:r>
    </w:p>
    <w:p w14:paraId="184B1154" w14:textId="77777777" w:rsidR="002352E1" w:rsidRDefault="00000000">
      <w:pPr>
        <w:spacing w:after="160" w:line="300" w:lineRule="auto"/>
        <w:jc w:val="both"/>
      </w:pPr>
      <w:r>
        <w:rPr>
          <w:i/>
          <w:iCs/>
          <w:color w:val="555555"/>
          <w:sz w:val="21"/>
          <w:szCs w:val="21"/>
        </w:rPr>
        <w:t>Corresponds to architecture Stages 5–7.</w:t>
      </w:r>
    </w:p>
    <w:p w14:paraId="12E478CB" w14:textId="77777777" w:rsidR="002352E1" w:rsidRDefault="00000000">
      <w:pPr>
        <w:pStyle w:val="ListParagraph"/>
        <w:numPr>
          <w:ilvl w:val="0"/>
          <w:numId w:val="2"/>
        </w:numPr>
        <w:spacing w:after="80" w:line="280" w:lineRule="auto"/>
      </w:pPr>
      <w:r>
        <w:rPr>
          <w:color w:val="222222"/>
          <w:sz w:val="22"/>
          <w:szCs w:val="22"/>
        </w:rPr>
        <w:t>Method: Bridging-centrality-based target prioritization on the convergent gene set from Phase 2, drug repurposing shortlist generation, molecular docking, and MD simulation on top candidates.</w:t>
      </w:r>
    </w:p>
    <w:p w14:paraId="61FABCD7" w14:textId="77777777" w:rsidR="002352E1" w:rsidRDefault="00000000">
      <w:pPr>
        <w:pStyle w:val="ListParagraph"/>
        <w:numPr>
          <w:ilvl w:val="0"/>
          <w:numId w:val="2"/>
        </w:numPr>
        <w:spacing w:after="80" w:line="280" w:lineRule="auto"/>
      </w:pPr>
      <w:r>
        <w:rPr>
          <w:color w:val="222222"/>
          <w:sz w:val="22"/>
          <w:szCs w:val="22"/>
        </w:rPr>
        <w:t>Claim: In silico evidence identifies repurposing candidates against network- and genetically-convergent targets, closing the pipeline from biological hypothesis to translational candidate.</w:t>
      </w:r>
    </w:p>
    <w:p w14:paraId="6B2B6DAD" w14:textId="77777777" w:rsidR="002352E1" w:rsidRDefault="00000000">
      <w:pPr>
        <w:pStyle w:val="ListParagraph"/>
        <w:numPr>
          <w:ilvl w:val="0"/>
          <w:numId w:val="2"/>
        </w:numPr>
        <w:spacing w:after="80" w:line="280" w:lineRule="auto"/>
      </w:pPr>
      <w:r>
        <w:rPr>
          <w:color w:val="222222"/>
          <w:sz w:val="22"/>
          <w:szCs w:val="22"/>
        </w:rPr>
        <w:t>Standalone value: A complete translational validation study in its own right, requiring only the target list produced by Phase 2.</w:t>
      </w:r>
    </w:p>
    <w:p w14:paraId="7C1B836D" w14:textId="77777777" w:rsidR="002352E1" w:rsidRDefault="002352E1">
      <w:pPr>
        <w:spacing w:after="160"/>
      </w:pPr>
    </w:p>
    <w:p w14:paraId="68BBEAA0" w14:textId="77777777" w:rsidR="002352E1" w:rsidRDefault="00000000">
      <w:pPr>
        <w:pStyle w:val="Heading1"/>
        <w:pBdr>
          <w:bottom w:val="single" w:sz="6" w:space="4" w:color="2E5339"/>
        </w:pBdr>
        <w:spacing w:before="400" w:after="160"/>
      </w:pPr>
      <w:r>
        <w:rPr>
          <w:b/>
          <w:bCs/>
          <w:color w:val="2E5339"/>
          <w:sz w:val="30"/>
          <w:szCs w:val="30"/>
        </w:rPr>
        <w:t>6. Acknowledged Limitations</w:t>
      </w:r>
    </w:p>
    <w:p w14:paraId="0C24F24A" w14:textId="77777777" w:rsidR="002352E1" w:rsidRDefault="00000000">
      <w:pPr>
        <w:spacing w:after="160" w:line="300" w:lineRule="auto"/>
        <w:jc w:val="both"/>
      </w:pPr>
      <w:r>
        <w:rPr>
          <w:color w:val="222222"/>
          <w:sz w:val="22"/>
          <w:szCs w:val="22"/>
        </w:rPr>
        <w:t>The following limitations are carried forward directly from the source literature and from the architecture's own design constraints, and should be stated explicitly in any resulting manuscript rather than discovered by a reviewer.</w:t>
      </w:r>
    </w:p>
    <w:p w14:paraId="006FC585" w14:textId="77777777" w:rsidR="002352E1" w:rsidRDefault="00000000">
      <w:pPr>
        <w:pStyle w:val="ListParagraph"/>
        <w:numPr>
          <w:ilvl w:val="0"/>
          <w:numId w:val="2"/>
        </w:numPr>
        <w:spacing w:after="80" w:line="280" w:lineRule="auto"/>
      </w:pPr>
      <w:r>
        <w:rPr>
          <w:color w:val="222222"/>
          <w:sz w:val="22"/>
          <w:szCs w:val="22"/>
        </w:rPr>
        <w:t>The paired longitudinal subset within GSE291257 (steady-state and VOE from the same patient) is limited to 19 patients; the primary network analysis therefore relies on the larger unpaired cohort, with the paired subset used only as a sensitivity check.</w:t>
      </w:r>
    </w:p>
    <w:p w14:paraId="5AF9417A" w14:textId="77777777" w:rsidR="002352E1" w:rsidRDefault="00000000">
      <w:pPr>
        <w:pStyle w:val="ListParagraph"/>
        <w:numPr>
          <w:ilvl w:val="0"/>
          <w:numId w:val="2"/>
        </w:numPr>
        <w:spacing w:after="80" w:line="280" w:lineRule="auto"/>
      </w:pPr>
      <w:r>
        <w:rPr>
          <w:color w:val="222222"/>
          <w:sz w:val="22"/>
          <w:szCs w:val="22"/>
        </w:rPr>
        <w:t>Nearly the entire GSE291257 cohort was receiving hydroxyurea at the time of sampling, so the architecture cannot determine how network structure in treatment-naive patients might differ.</w:t>
      </w:r>
    </w:p>
    <w:p w14:paraId="2751CE13" w14:textId="77777777" w:rsidR="002352E1" w:rsidRDefault="00000000">
      <w:pPr>
        <w:pStyle w:val="ListParagraph"/>
        <w:numPr>
          <w:ilvl w:val="0"/>
          <w:numId w:val="2"/>
        </w:numPr>
        <w:spacing w:after="80" w:line="280" w:lineRule="auto"/>
      </w:pPr>
      <w:r>
        <w:rPr>
          <w:color w:val="222222"/>
          <w:sz w:val="22"/>
          <w:szCs w:val="22"/>
        </w:rPr>
        <w:t>GSE139912 is used strictly as an independent gene-level replication set, not as a basis for structural network comparison, due to differences in cell composition relative to GSE291257 (Section 3.1).</w:t>
      </w:r>
    </w:p>
    <w:p w14:paraId="085B6B4C" w14:textId="77777777" w:rsidR="002352E1" w:rsidRDefault="00000000">
      <w:pPr>
        <w:pStyle w:val="ListParagraph"/>
        <w:numPr>
          <w:ilvl w:val="0"/>
          <w:numId w:val="2"/>
        </w:numPr>
        <w:spacing w:after="80" w:line="280" w:lineRule="auto"/>
      </w:pPr>
      <w:r>
        <w:rPr>
          <w:color w:val="222222"/>
          <w:sz w:val="22"/>
          <w:szCs w:val="22"/>
        </w:rPr>
        <w:t>The genetic modifier cross-reference in Phase 2 uses literature-curated GWAS Catalog loci rather than raw patient-level genotyping, which limits the analysis to previously reported modifier loci rather than enabling discovery of entirely novel genetic associations.</w:t>
      </w:r>
    </w:p>
    <w:p w14:paraId="50805A4E" w14:textId="6D64CC61" w:rsidR="008A61D0" w:rsidRPr="00355FD8" w:rsidRDefault="00000000" w:rsidP="00355FD8">
      <w:pPr>
        <w:pStyle w:val="ListParagraph"/>
        <w:numPr>
          <w:ilvl w:val="0"/>
          <w:numId w:val="2"/>
        </w:numPr>
        <w:spacing w:after="80" w:line="280" w:lineRule="auto"/>
      </w:pPr>
      <w:r>
        <w:rPr>
          <w:color w:val="222222"/>
          <w:sz w:val="22"/>
          <w:szCs w:val="22"/>
        </w:rPr>
        <w:lastRenderedPageBreak/>
        <w:t>As with the source dataset publications, any transcriptomic association identified cannot on its own establish whether network reorganization drives clinical outcome or is a downstream consequence of it; this remains a correlational study unless followed by mechanistic or functional validation.</w:t>
      </w:r>
    </w:p>
    <w:sectPr w:rsidR="008A61D0" w:rsidRPr="00355F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14BB2"/>
    <w:multiLevelType w:val="hybridMultilevel"/>
    <w:tmpl w:val="3134E256"/>
    <w:lvl w:ilvl="0" w:tplc="87D446FA">
      <w:start w:val="1"/>
      <w:numFmt w:val="bullet"/>
      <w:lvlText w:val="●"/>
      <w:lvlJc w:val="left"/>
      <w:pPr>
        <w:ind w:left="720" w:hanging="360"/>
      </w:pPr>
    </w:lvl>
    <w:lvl w:ilvl="1" w:tplc="66ECE9F2">
      <w:start w:val="1"/>
      <w:numFmt w:val="bullet"/>
      <w:lvlText w:val="○"/>
      <w:lvlJc w:val="left"/>
      <w:pPr>
        <w:ind w:left="1440" w:hanging="360"/>
      </w:pPr>
    </w:lvl>
    <w:lvl w:ilvl="2" w:tplc="8920299E">
      <w:start w:val="1"/>
      <w:numFmt w:val="bullet"/>
      <w:lvlText w:val="■"/>
      <w:lvlJc w:val="left"/>
      <w:pPr>
        <w:ind w:left="2160" w:hanging="360"/>
      </w:pPr>
    </w:lvl>
    <w:lvl w:ilvl="3" w:tplc="F256782C">
      <w:start w:val="1"/>
      <w:numFmt w:val="bullet"/>
      <w:lvlText w:val="●"/>
      <w:lvlJc w:val="left"/>
      <w:pPr>
        <w:ind w:left="2880" w:hanging="360"/>
      </w:pPr>
    </w:lvl>
    <w:lvl w:ilvl="4" w:tplc="D1DA13B8">
      <w:start w:val="1"/>
      <w:numFmt w:val="bullet"/>
      <w:lvlText w:val="○"/>
      <w:lvlJc w:val="left"/>
      <w:pPr>
        <w:ind w:left="3600" w:hanging="360"/>
      </w:pPr>
    </w:lvl>
    <w:lvl w:ilvl="5" w:tplc="D04C7B76">
      <w:start w:val="1"/>
      <w:numFmt w:val="bullet"/>
      <w:lvlText w:val="■"/>
      <w:lvlJc w:val="left"/>
      <w:pPr>
        <w:ind w:left="4320" w:hanging="360"/>
      </w:pPr>
    </w:lvl>
    <w:lvl w:ilvl="6" w:tplc="DB18C34C">
      <w:start w:val="1"/>
      <w:numFmt w:val="bullet"/>
      <w:lvlText w:val="●"/>
      <w:lvlJc w:val="left"/>
      <w:pPr>
        <w:ind w:left="5040" w:hanging="360"/>
      </w:pPr>
    </w:lvl>
    <w:lvl w:ilvl="7" w:tplc="C686B3D8">
      <w:start w:val="1"/>
      <w:numFmt w:val="bullet"/>
      <w:lvlText w:val="●"/>
      <w:lvlJc w:val="left"/>
      <w:pPr>
        <w:ind w:left="5760" w:hanging="360"/>
      </w:pPr>
    </w:lvl>
    <w:lvl w:ilvl="8" w:tplc="0F8E2A42">
      <w:start w:val="1"/>
      <w:numFmt w:val="bullet"/>
      <w:lvlText w:val="●"/>
      <w:lvlJc w:val="left"/>
      <w:pPr>
        <w:ind w:left="6480" w:hanging="360"/>
      </w:pPr>
    </w:lvl>
  </w:abstractNum>
  <w:abstractNum w:abstractNumId="1" w15:restartNumberingAfterBreak="0">
    <w:nsid w:val="4BA7079F"/>
    <w:multiLevelType w:val="hybridMultilevel"/>
    <w:tmpl w:val="32E034CE"/>
    <w:lvl w:ilvl="0" w:tplc="1AB4E2BE">
      <w:start w:val="1"/>
      <w:numFmt w:val="bullet"/>
      <w:lvlText w:val="•"/>
      <w:lvlJc w:val="left"/>
      <w:pPr>
        <w:ind w:left="420" w:hanging="260"/>
      </w:pPr>
    </w:lvl>
    <w:lvl w:ilvl="1" w:tplc="20D4C1A0">
      <w:start w:val="1"/>
      <w:numFmt w:val="bullet"/>
      <w:lvlText w:val="◦"/>
      <w:lvlJc w:val="left"/>
      <w:pPr>
        <w:ind w:left="820" w:hanging="260"/>
      </w:pPr>
    </w:lvl>
    <w:lvl w:ilvl="2" w:tplc="AB14A680">
      <w:numFmt w:val="decimal"/>
      <w:lvlText w:val=""/>
      <w:lvlJc w:val="left"/>
    </w:lvl>
    <w:lvl w:ilvl="3" w:tplc="FFF6151E">
      <w:numFmt w:val="decimal"/>
      <w:lvlText w:val=""/>
      <w:lvlJc w:val="left"/>
    </w:lvl>
    <w:lvl w:ilvl="4" w:tplc="A6C8BEEE">
      <w:numFmt w:val="decimal"/>
      <w:lvlText w:val=""/>
      <w:lvlJc w:val="left"/>
    </w:lvl>
    <w:lvl w:ilvl="5" w:tplc="4CCC9E56">
      <w:numFmt w:val="decimal"/>
      <w:lvlText w:val=""/>
      <w:lvlJc w:val="left"/>
    </w:lvl>
    <w:lvl w:ilvl="6" w:tplc="B38CA3FE">
      <w:numFmt w:val="decimal"/>
      <w:lvlText w:val=""/>
      <w:lvlJc w:val="left"/>
    </w:lvl>
    <w:lvl w:ilvl="7" w:tplc="F6B8BC24">
      <w:numFmt w:val="decimal"/>
      <w:lvlText w:val=""/>
      <w:lvlJc w:val="left"/>
    </w:lvl>
    <w:lvl w:ilvl="8" w:tplc="4E8A79EA">
      <w:numFmt w:val="decimal"/>
      <w:lvlText w:val=""/>
      <w:lvlJc w:val="left"/>
    </w:lvl>
  </w:abstractNum>
  <w:abstractNum w:abstractNumId="2" w15:restartNumberingAfterBreak="0">
    <w:nsid w:val="6B3C2FD1"/>
    <w:multiLevelType w:val="hybridMultilevel"/>
    <w:tmpl w:val="68AE76B2"/>
    <w:lvl w:ilvl="0" w:tplc="297A949A">
      <w:start w:val="1"/>
      <w:numFmt w:val="decimal"/>
      <w:lvlText w:val="%1."/>
      <w:lvlJc w:val="left"/>
      <w:pPr>
        <w:ind w:left="420" w:hanging="260"/>
      </w:pPr>
    </w:lvl>
    <w:lvl w:ilvl="1" w:tplc="46EAE0AE">
      <w:numFmt w:val="decimal"/>
      <w:lvlText w:val=""/>
      <w:lvlJc w:val="left"/>
    </w:lvl>
    <w:lvl w:ilvl="2" w:tplc="25082CC4">
      <w:numFmt w:val="decimal"/>
      <w:lvlText w:val=""/>
      <w:lvlJc w:val="left"/>
    </w:lvl>
    <w:lvl w:ilvl="3" w:tplc="E8BAA4D8">
      <w:numFmt w:val="decimal"/>
      <w:lvlText w:val=""/>
      <w:lvlJc w:val="left"/>
    </w:lvl>
    <w:lvl w:ilvl="4" w:tplc="9B94E93A">
      <w:numFmt w:val="decimal"/>
      <w:lvlText w:val=""/>
      <w:lvlJc w:val="left"/>
    </w:lvl>
    <w:lvl w:ilvl="5" w:tplc="D9E0EA4A">
      <w:numFmt w:val="decimal"/>
      <w:lvlText w:val=""/>
      <w:lvlJc w:val="left"/>
    </w:lvl>
    <w:lvl w:ilvl="6" w:tplc="DDEA152C">
      <w:numFmt w:val="decimal"/>
      <w:lvlText w:val=""/>
      <w:lvlJc w:val="left"/>
    </w:lvl>
    <w:lvl w:ilvl="7" w:tplc="84FC4B1C">
      <w:numFmt w:val="decimal"/>
      <w:lvlText w:val=""/>
      <w:lvlJc w:val="left"/>
    </w:lvl>
    <w:lvl w:ilvl="8" w:tplc="BDF04162">
      <w:numFmt w:val="decimal"/>
      <w:lvlText w:val=""/>
      <w:lvlJc w:val="left"/>
    </w:lvl>
  </w:abstractNum>
  <w:num w:numId="1" w16cid:durableId="1748188616">
    <w:abstractNumId w:val="0"/>
    <w:lvlOverride w:ilvl="0">
      <w:startOverride w:val="1"/>
    </w:lvlOverride>
  </w:num>
  <w:num w:numId="2" w16cid:durableId="1068724929">
    <w:abstractNumId w:val="1"/>
    <w:lvlOverride w:ilvl="0">
      <w:startOverride w:val="1"/>
    </w:lvlOverride>
  </w:num>
  <w:num w:numId="3" w16cid:durableId="3844511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E1"/>
    <w:rsid w:val="002352E1"/>
    <w:rsid w:val="00341C5B"/>
    <w:rsid w:val="00355FD8"/>
    <w:rsid w:val="008A61D0"/>
    <w:rsid w:val="00D55263"/>
    <w:rsid w:val="00D874EF"/>
    <w:rsid w:val="00E72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D781"/>
  <w15:docId w15:val="{F6F9EB9A-F430-42F0-AFA7-6F466A6C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1655</Words>
  <Characters>9436</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Ahan Biswal</cp:lastModifiedBy>
  <cp:revision>5</cp:revision>
  <dcterms:created xsi:type="dcterms:W3CDTF">2026-08-06T11:35:00Z</dcterms:created>
  <dcterms:modified xsi:type="dcterms:W3CDTF">2026-08-10T06:02:00Z</dcterms:modified>
</cp:coreProperties>
</file>