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</w:pPr>
      <w:r>
        <w:rPr>
          <w:rFonts w:ascii="Calibri" w:hAnsi="Calibri" w:eastAsia="Calibri"/>
          <w:b/>
          <w:i w:val="0"/>
          <w:color w:val="555555"/>
          <w:sz w:val="20"/>
        </w:rPr>
        <w:t>内部工作文档 / WEEK 32</w:t>
      </w:r>
    </w:p>
    <w:p>
      <w:pPr>
        <w:spacing w:before="0" w:after="80"/>
        <w:jc w:val="left"/>
      </w:pPr>
      <w:r>
        <w:rPr>
          <w:rFonts w:ascii="Calibri" w:hAnsi="Calibri" w:eastAsia="Calibri"/>
          <w:b/>
          <w:i w:val="0"/>
          <w:color w:val="000000"/>
          <w:sz w:val="48"/>
        </w:rPr>
        <w:t>AI 内容转换项目周报</w:t>
      </w:r>
    </w:p>
    <w:p>
      <w:pPr>
        <w:spacing w:before="0" w:after="320"/>
        <w:jc w:val="left"/>
      </w:pPr>
      <w:r>
        <w:rPr>
          <w:rFonts w:ascii="Calibri" w:hAnsi="Calibri" w:eastAsia="Calibri"/>
          <w:b w:val="0"/>
          <w:i w:val="0"/>
          <w:color w:val="555555"/>
          <w:sz w:val="26"/>
        </w:rPr>
        <w:t>第 32 周交付状态、数据表现与风险同步</w:t>
      </w:r>
    </w:p>
    <w:p>
      <w:pPr>
        <w:spacing w:before="0" w:after="40" w:line="280" w:lineRule="auto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收件人：</w:t>
      </w:r>
      <w:r>
        <w:rPr>
          <w:rFonts w:ascii="Calibri" w:hAnsi="Calibri" w:eastAsia="Calibri"/>
          <w:b w:val="0"/>
          <w:i w:val="0"/>
          <w:color w:val="000000"/>
          <w:sz w:val="22"/>
        </w:rPr>
        <w:t>产品与研发核心团队</w:t>
      </w:r>
    </w:p>
    <w:p>
      <w:pPr>
        <w:spacing w:before="0" w:after="40" w:line="280" w:lineRule="auto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发件人：</w:t>
      </w:r>
      <w:r>
        <w:rPr>
          <w:rFonts w:ascii="Calibri" w:hAnsi="Calibri" w:eastAsia="Calibri"/>
          <w:b w:val="0"/>
          <w:i w:val="0"/>
          <w:color w:val="000000"/>
          <w:sz w:val="22"/>
        </w:rPr>
        <w:t>项目运营负责人</w:t>
      </w:r>
    </w:p>
    <w:p>
      <w:pPr>
        <w:spacing w:before="0" w:after="40" w:line="280" w:lineRule="auto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日期：</w:t>
      </w:r>
      <w:r>
        <w:rPr>
          <w:rFonts w:ascii="Calibri" w:hAnsi="Calibri" w:eastAsia="Calibri"/>
          <w:b w:val="0"/>
          <w:i w:val="0"/>
          <w:color w:val="000000"/>
          <w:sz w:val="22"/>
        </w:rPr>
        <w:t>2026 年 8 月 16 日</w:t>
      </w:r>
    </w:p>
    <w:p>
      <w:pPr>
        <w:spacing w:before="0" w:after="40" w:line="280" w:lineRule="auto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主题：</w:t>
      </w:r>
      <w:r>
        <w:rPr>
          <w:rFonts w:ascii="Calibri" w:hAnsi="Calibri" w:eastAsia="Calibri"/>
          <w:b w:val="0"/>
          <w:i w:val="0"/>
          <w:color w:val="000000"/>
          <w:sz w:val="22"/>
        </w:rPr>
        <w:t>智能文档转换与模板适配进展</w:t>
      </w:r>
    </w:p>
    <w:p>
      <w:pPr>
        <w:spacing w:before="0" w:after="40" w:line="280" w:lineRule="auto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状态：</w:t>
      </w:r>
      <w:r>
        <w:rPr>
          <w:rFonts w:ascii="Calibri" w:hAnsi="Calibri" w:eastAsia="Calibri"/>
          <w:b w:val="0"/>
          <w:i w:val="0"/>
          <w:color w:val="000000"/>
          <w:sz w:val="22"/>
        </w:rPr>
        <w:t>按计划推进，需关注 2 项风险</w:t>
      </w:r>
    </w:p>
    <w:p>
      <w:pPr>
        <w:spacing w:before="280" w:after="0"/>
        <w:jc w:val="left"/>
        <w:pBdr>
          <w:bottom w:val="single" w:sz="8" w:space="1" w:color="D0D7DE"/>
        </w:pBdr>
      </w:pPr>
    </w:p>
    <w:p>
      <w:pPr>
        <w:pStyle w:val="Heading1"/>
        <w:spacing w:before="320" w:after="160"/>
        <w:jc w:val="left"/>
      </w:pPr>
      <w:r>
        <w:rPr>
          <w:rFonts w:ascii="Calibri" w:hAnsi="Calibri" w:eastAsia="Calibri"/>
          <w:b/>
          <w:i w:val="0"/>
          <w:color w:val="2E74B5"/>
          <w:sz w:val="32"/>
        </w:rPr>
        <w:t>核心结论</w:t>
      </w:r>
    </w:p>
    <w:p>
      <w:pPr>
        <w:spacing w:before="0" w:after="240" w:line="300" w:lineRule="auto"/>
        <w:jc w:val="left"/>
        <w:shd w:val="clear" w:color="auto" w:fill="F4F6F9"/>
      </w:pPr>
      <w:r>
        <w:rPr>
          <w:rFonts w:ascii="Calibri" w:hAnsi="Calibri" w:eastAsia="Calibri"/>
          <w:b w:val="0"/>
          <w:i w:val="0"/>
          <w:color w:val="0B2545"/>
          <w:sz w:val="22"/>
        </w:rPr>
        <w:t>本周智能模板匹配准确率提升至 86.4%，文档结构识别和风险提取已进入稳定阶段；主要交付风险集中在 PDF 扫描件识别与多工作簿大文件渲染时间。</w:t>
      </w:r>
    </w:p>
    <w:p>
      <w:pPr>
        <w:pStyle w:val="Heading1"/>
        <w:spacing w:before="320" w:after="160"/>
        <w:jc w:val="left"/>
      </w:pPr>
      <w:r>
        <w:rPr>
          <w:rFonts w:ascii="Calibri" w:hAnsi="Calibri" w:eastAsia="Calibri"/>
          <w:b/>
          <w:i w:val="0"/>
          <w:color w:val="2E74B5"/>
          <w:sz w:val="32"/>
        </w:rPr>
        <w:t>本周进展</w:t>
      </w:r>
    </w:p>
    <w:p>
      <w:pPr>
        <w:pStyle w:val="ListBullet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/>
          <w:i w:val="0"/>
          <w:color w:val="0B2545"/>
          <w:sz w:val="22"/>
        </w:rPr>
        <w:t>内容理解：</w:t>
      </w:r>
      <w:r>
        <w:rPr>
          <w:rFonts w:ascii="Calibri" w:hAnsi="Calibri" w:eastAsia="Calibri"/>
          <w:b w:val="0"/>
          <w:i w:val="0"/>
          <w:color w:val="0B2545"/>
          <w:sz w:val="22"/>
        </w:rPr>
        <w:t>完成 Markdown、Word、Excel、PDF 四类文档的统一内容分析层。</w:t>
      </w:r>
    </w:p>
    <w:p>
      <w:pPr>
        <w:pStyle w:val="ListBullet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/>
          <w:i w:val="0"/>
          <w:color w:val="0B2545"/>
          <w:sz w:val="22"/>
        </w:rPr>
        <w:t>模板适配：</w:t>
      </w:r>
      <w:r>
        <w:rPr>
          <w:rFonts w:ascii="Calibri" w:hAnsi="Calibri" w:eastAsia="Calibri"/>
          <w:b w:val="0"/>
          <w:i w:val="0"/>
          <w:color w:val="0B2545"/>
          <w:sz w:val="22"/>
        </w:rPr>
        <w:t>接入 blue-professional、soft-editorial、monochrome 等 9 套视觉模板。</w:t>
      </w:r>
    </w:p>
    <w:p>
      <w:pPr>
        <w:pStyle w:val="ListBullet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/>
          <w:i w:val="0"/>
          <w:color w:val="0B2545"/>
          <w:sz w:val="22"/>
        </w:rPr>
        <w:t>重点提取：</w:t>
      </w:r>
      <w:r>
        <w:rPr>
          <w:rFonts w:ascii="Calibri" w:hAnsi="Calibri" w:eastAsia="Calibri"/>
          <w:b w:val="0"/>
          <w:i w:val="0"/>
          <w:color w:val="0B2545"/>
          <w:sz w:val="22"/>
        </w:rPr>
        <w:t>核心结论、关键发现、风险与行动建议已作为独立模块输出到 HTML。</w:t>
      </w:r>
    </w:p>
    <w:p>
      <w:pPr>
        <w:pStyle w:val="ListBullet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/>
          <w:i w:val="0"/>
          <w:color w:val="0B2545"/>
          <w:sz w:val="22"/>
        </w:rPr>
        <w:t>视觉验证：</w:t>
      </w:r>
      <w:r>
        <w:rPr>
          <w:rFonts w:ascii="Calibri" w:hAnsi="Calibri" w:eastAsia="Calibri"/>
          <w:b w:val="0"/>
          <w:i w:val="0"/>
          <w:color w:val="0B2545"/>
          <w:sz w:val="22"/>
        </w:rPr>
        <w:t>深色模式下自动优先选择高对比度模板，移动端预览无横向溢出。</w:t>
      </w:r>
    </w:p>
    <w:p>
      <w:pPr>
        <w:pStyle w:val="Heading1"/>
        <w:spacing w:before="320" w:after="160"/>
        <w:jc w:val="left"/>
      </w:pPr>
      <w:r>
        <w:rPr>
          <w:rFonts w:ascii="Calibri" w:hAnsi="Calibri" w:eastAsia="Calibri"/>
          <w:b/>
          <w:i w:val="0"/>
          <w:color w:val="2E74B5"/>
          <w:sz w:val="32"/>
        </w:rPr>
        <w:t>关键指标</w:t>
      </w:r>
    </w:p>
    <w:p>
      <w:pPr>
        <w:spacing w:before="80" w:after="160"/>
        <w:jc w:val="left"/>
      </w:pPr>
      <w:r>
        <w:rPr>
          <w:rFonts w:ascii="Calibri" w:hAnsi="Calibri" w:eastAsia="Calibri"/>
          <w:b w:val="0"/>
          <w:i/>
          <w:color w:val="555555"/>
          <w:sz w:val="18"/>
        </w:rPr>
        <w:t>来源：第 32 周质量看板与测试运行结果。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800"/>
        <w:gridCol w:w="1800"/>
        <w:gridCol w:w="3360"/>
      </w:tblGrid>
      <w:tr>
        <w:trPr/>
        <w:tc>
          <w:tcPr>
            <w:tcW w:type="dxa" w:w="2400"/>
            <w:shd w:val="clear" w:color="auto"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指标</w:t>
            </w:r>
          </w:p>
        </w:tc>
        <w:tc>
          <w:tcPr>
            <w:tcW w:type="dxa" w:w="1800"/>
            <w:shd w:val="clear" w:color="auto"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本周值</w:t>
            </w:r>
          </w:p>
        </w:tc>
        <w:tc>
          <w:tcPr>
            <w:tcW w:type="dxa" w:w="1800"/>
            <w:shd w:val="clear" w:color="auto"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上周值</w:t>
            </w:r>
          </w:p>
        </w:tc>
        <w:tc>
          <w:tcPr>
            <w:tcW w:type="dxa" w:w="3360"/>
            <w:shd w:val="clear" w:color="auto"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变化说明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模板匹配准确率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86.4%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81.9%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多类文档训练样例增加，整体稳步提升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关键结论覆盖率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92.1%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88.6%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报告与数据文档覆盖更完整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HTML 平均生成耗时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1.8 秒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2.3 秒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本地分析层优化后明显下降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未解决风险数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PDF 与性能风险仍待处理</w:t>
            </w:r>
          </w:p>
        </w:tc>
      </w:tr>
    </w:tbl>
    <w:p>
      <w:pPr>
        <w:pStyle w:val="Heading1"/>
        <w:spacing w:before="320" w:after="160"/>
        <w:jc w:val="left"/>
      </w:pPr>
      <w:r>
        <w:rPr>
          <w:rFonts w:ascii="Calibri" w:hAnsi="Calibri" w:eastAsia="Calibri"/>
          <w:b/>
          <w:i w:val="0"/>
          <w:color w:val="2E74B5"/>
          <w:sz w:val="32"/>
        </w:rPr>
        <w:t>风险与依赖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200"/>
        <w:gridCol w:w="5760"/>
      </w:tblGrid>
      <w:tr>
        <w:trPr/>
        <w:tc>
          <w:tcPr>
            <w:tcW w:type="dxa" w:w="2400"/>
            <w:shd w:val="clear" w:color="auto"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风险项</w:t>
            </w:r>
          </w:p>
        </w:tc>
        <w:tc>
          <w:tcPr>
            <w:tcW w:type="dxa" w:w="1200"/>
            <w:shd w:val="clear" w:color="auto"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等级</w:t>
            </w:r>
          </w:p>
        </w:tc>
        <w:tc>
          <w:tcPr>
            <w:tcW w:type="dxa" w:w="5760"/>
            <w:shd w:val="clear" w:color="auto"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应对措施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扫描版 PDF 无文本层，当前无法可靠提取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中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本周完成图片 OCR 预研，确定开源方案后再排期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超过 50 MB 的 Excel 文件转换耗时偏高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低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1"/>
              </w:rPr>
              <w:t>限制预览表数量，并增加后台进度提示</w:t>
            </w:r>
          </w:p>
        </w:tc>
      </w:tr>
    </w:tbl>
    <w:p>
      <w:pPr>
        <w:pStyle w:val="Heading1"/>
        <w:spacing w:before="320" w:after="160"/>
        <w:jc w:val="left"/>
      </w:pPr>
      <w:r>
        <w:rPr>
          <w:rFonts w:ascii="Calibri" w:hAnsi="Calibri" w:eastAsia="Calibri"/>
          <w:b/>
          <w:i w:val="0"/>
          <w:color w:val="2E74B5"/>
          <w:sz w:val="32"/>
        </w:rPr>
        <w:t>行动建议</w:t>
      </w:r>
    </w:p>
    <w:p>
      <w:pPr>
        <w:pStyle w:val="ListNumber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 w:val="0"/>
          <w:i w:val="0"/>
          <w:color w:val="0B2545"/>
          <w:sz w:val="22"/>
        </w:rPr>
        <w:t>优先完成扫描版 PDF 的 OCR 技术验证，并在下周提交结论。</w:t>
      </w:r>
    </w:p>
    <w:p>
      <w:pPr>
        <w:pStyle w:val="ListNumber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 w:val="0"/>
          <w:i w:val="0"/>
          <w:color w:val="0B2545"/>
          <w:sz w:val="22"/>
        </w:rPr>
        <w:t>为大文件 Excel 增加分页预览和可取消任务，避免界面长时间等待。</w:t>
      </w:r>
    </w:p>
    <w:p>
      <w:pPr>
        <w:pStyle w:val="ListNumber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 w:val="0"/>
          <w:i w:val="0"/>
          <w:color w:val="0B2545"/>
          <w:sz w:val="22"/>
        </w:rPr>
        <w:t>将模板匹配结果作为导出 HTML 的可视化元数据，方便用户回看依据。</w:t>
      </w:r>
    </w:p>
    <w:p>
      <w:pPr>
        <w:pStyle w:val="Heading1"/>
        <w:spacing w:before="320" w:after="160"/>
        <w:jc w:val="left"/>
      </w:pPr>
      <w:r>
        <w:rPr>
          <w:rFonts w:ascii="Calibri" w:hAnsi="Calibri" w:eastAsia="Calibri"/>
          <w:b/>
          <w:i w:val="0"/>
          <w:color w:val="2E74B5"/>
          <w:sz w:val="32"/>
        </w:rPr>
        <w:t>下周计划</w:t>
      </w:r>
    </w:p>
    <w:p>
      <w:pPr>
        <w:pStyle w:val="ListBullet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 w:val="0"/>
          <w:i w:val="0"/>
          <w:color w:val="0B2545"/>
          <w:sz w:val="22"/>
        </w:rPr>
        <w:t>完成扫描版 PDF 的 OCR 原型与准确率测试。</w:t>
      </w:r>
    </w:p>
    <w:p>
      <w:pPr>
        <w:pStyle w:val="ListBullet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 w:val="0"/>
          <w:i w:val="0"/>
          <w:color w:val="0B2545"/>
          <w:sz w:val="22"/>
        </w:rPr>
        <w:t>上线大文件 Excel 转换的超时保护和进度反馈。</w:t>
      </w:r>
    </w:p>
    <w:p>
      <w:pPr>
        <w:pStyle w:val="ListBullet"/>
        <w:spacing w:before="0" w:after="120" w:line="280" w:lineRule="auto"/>
        <w:ind w:left="360" w:hanging="360"/>
        <w:jc w:val="left"/>
      </w:pPr>
      <w:r>
        <w:rPr>
          <w:rFonts w:ascii="Calibri" w:hAnsi="Calibri" w:eastAsia="Calibri"/>
          <w:b w:val="0"/>
          <w:i w:val="0"/>
          <w:color w:val="0B2545"/>
          <w:sz w:val="22"/>
        </w:rPr>
        <w:t>补充 2 套适合学术报告与人文内容的模板配方。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Calibri" w:hAnsi="Calibri" w:eastAsia="Calibri"/>
        <w:b w:val="0"/>
        <w:i w:val="0"/>
        <w:color w:val="555555"/>
        <w:sz w:val="18"/>
      </w:rPr>
      <w:t xml:space="preserve">随机项目简报 · 第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/>
    <w:r>
      <w:rPr>
        <w:rFonts w:ascii="Calibri" w:hAnsi="Calibri" w:eastAsia="Calibri"/>
        <w:b w:val="0"/>
        <w:i w:val="0"/>
        <w:color w:val="555555"/>
        <w:sz w:val="18"/>
      </w:rPr>
      <w:t>内部工作文档 / 第 32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