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A3B0BA" w14:textId="66D0FAB6" w:rsidR="0045766A" w:rsidRDefault="00E719E4">
      <w:r>
        <w:t xml:space="preserve">Analysis of </w:t>
      </w:r>
      <w:r w:rsidRPr="00E719E4">
        <w:t xml:space="preserve">Enterobacter </w:t>
      </w:r>
      <w:proofErr w:type="spellStart"/>
      <w:r w:rsidRPr="00E719E4">
        <w:t>hormaechei</w:t>
      </w:r>
      <w:proofErr w:type="spellEnd"/>
      <w:r w:rsidRPr="00E719E4">
        <w:t xml:space="preserve"> </w:t>
      </w:r>
    </w:p>
    <w:p w14:paraId="4BB3FCB5" w14:textId="77777777" w:rsidR="003D4485" w:rsidRDefault="003D4485"/>
    <w:p w14:paraId="3F8B4C68" w14:textId="77777777" w:rsidR="003D4485" w:rsidRDefault="003D4485"/>
    <w:p w14:paraId="7A29C5F4" w14:textId="5DFEF84A" w:rsidR="00E719E4" w:rsidRDefault="003D4485">
      <w:hyperlink r:id="rId4" w:history="1">
        <w:r w:rsidRPr="00F1446A">
          <w:rPr>
            <w:rStyle w:val="Hyperlink"/>
          </w:rPr>
          <w:t>https://pmc.ncbi.nlm.nih.gov/articles/PMC8653583/</w:t>
        </w:r>
      </w:hyperlink>
      <w:r>
        <w:t xml:space="preserve"> (2021)</w:t>
      </w:r>
    </w:p>
    <w:p w14:paraId="1010D828" w14:textId="3711992C" w:rsidR="00E719E4" w:rsidRDefault="00E719E4">
      <w:r>
        <w:t xml:space="preserve">When found in housefly larvae diets it can promote healthy host growth by inhibiting </w:t>
      </w:r>
      <w:r w:rsidR="003D4485">
        <w:t xml:space="preserve">pathogenic strains in the gut microbiome. They </w:t>
      </w:r>
      <w:r w:rsidR="003D4485" w:rsidRPr="003D4485">
        <w:t xml:space="preserve">found that the composition, structure and network interactions of the intestinal microflora of housefly larvae changed significantly after larvae were fed E. </w:t>
      </w:r>
      <w:proofErr w:type="spellStart"/>
      <w:r w:rsidR="003D4485" w:rsidRPr="003D4485">
        <w:t>hormaechei</w:t>
      </w:r>
      <w:proofErr w:type="spellEnd"/>
      <w:r w:rsidR="003D4485" w:rsidRPr="003D4485">
        <w:t xml:space="preserve">. We speculate that E. </w:t>
      </w:r>
      <w:proofErr w:type="spellStart"/>
      <w:r w:rsidR="003D4485" w:rsidRPr="003D4485">
        <w:t>hormaechei</w:t>
      </w:r>
      <w:proofErr w:type="spellEnd"/>
      <w:r w:rsidR="003D4485" w:rsidRPr="003D4485">
        <w:t xml:space="preserve"> inhibited the growth of some pathogenic strains, increased the bacterial load of beneficial flora in the intestinal microbial community, balanced the intestinal flora interactions of housefly larvae and accelerated the growth of housefly larvae</w:t>
      </w:r>
      <w:r w:rsidR="003D4485">
        <w:t>.</w:t>
      </w:r>
    </w:p>
    <w:p w14:paraId="62779069" w14:textId="77777777" w:rsidR="003D4485" w:rsidRDefault="003D4485"/>
    <w:p w14:paraId="382D82DB" w14:textId="77777777" w:rsidR="003D4485" w:rsidRDefault="003D4485"/>
    <w:p w14:paraId="75E9BECA" w14:textId="1E11E22A" w:rsidR="003D4485" w:rsidRDefault="003D4485">
      <w:hyperlink r:id="rId5" w:history="1">
        <w:r w:rsidRPr="00F1446A">
          <w:rPr>
            <w:rStyle w:val="Hyperlink"/>
          </w:rPr>
          <w:t>https://www.mdpi.com/2079-6382/13/7/592</w:t>
        </w:r>
      </w:hyperlink>
      <w:r>
        <w:t xml:space="preserve"> (2024)</w:t>
      </w:r>
      <w:r w:rsidR="00376617">
        <w:t xml:space="preserve"> - HAS WGS SEQUENCED E. HORMAECHEI</w:t>
      </w:r>
    </w:p>
    <w:p w14:paraId="4F4FBAF1" w14:textId="75474068" w:rsidR="003D4485" w:rsidRDefault="003D4485">
      <w:r w:rsidRPr="003D4485">
        <w:t>The genus </w:t>
      </w:r>
      <w:r w:rsidRPr="003D4485">
        <w:rPr>
          <w:i/>
          <w:iCs/>
        </w:rPr>
        <w:t>Enterobacter</w:t>
      </w:r>
      <w:r w:rsidRPr="003D4485">
        <w:t>, a member of the notorious ESKAPE pathogens (</w:t>
      </w:r>
      <w:r w:rsidRPr="003D4485">
        <w:rPr>
          <w:i/>
          <w:iCs/>
        </w:rPr>
        <w:t>Enterococcus faecium</w:t>
      </w:r>
      <w:r w:rsidRPr="003D4485">
        <w:t>, </w:t>
      </w:r>
      <w:r w:rsidRPr="003D4485">
        <w:rPr>
          <w:i/>
          <w:iCs/>
        </w:rPr>
        <w:t>Staphylococcus aureus</w:t>
      </w:r>
      <w:r w:rsidRPr="003D4485">
        <w:t>, </w:t>
      </w:r>
      <w:r w:rsidRPr="003D4485">
        <w:rPr>
          <w:i/>
          <w:iCs/>
        </w:rPr>
        <w:t>Klebsiella pneumoniae</w:t>
      </w:r>
      <w:r w:rsidRPr="003D4485">
        <w:t>, </w:t>
      </w:r>
      <w:r w:rsidRPr="003D4485">
        <w:rPr>
          <w:i/>
          <w:iCs/>
        </w:rPr>
        <w:t>Acinetobacter baumannii</w:t>
      </w:r>
      <w:r w:rsidRPr="003D4485">
        <w:t>, </w:t>
      </w:r>
      <w:r w:rsidRPr="003D4485">
        <w:rPr>
          <w:i/>
          <w:iCs/>
        </w:rPr>
        <w:t>Pseudomonas aeruginosa</w:t>
      </w:r>
      <w:r w:rsidRPr="003D4485">
        <w:t>, and </w:t>
      </w:r>
      <w:r w:rsidRPr="003D4485">
        <w:rPr>
          <w:i/>
          <w:iCs/>
        </w:rPr>
        <w:t>Enterobacter</w:t>
      </w:r>
      <w:r w:rsidRPr="003D4485">
        <w:t> species), represents a global threat to human health [</w:t>
      </w:r>
      <w:hyperlink r:id="rId6" w:anchor="B1-antibiotics-13-00592" w:history="1">
        <w:r w:rsidRPr="003D4485">
          <w:rPr>
            <w:rStyle w:val="Hyperlink"/>
            <w:b/>
            <w:bCs/>
          </w:rPr>
          <w:t>1</w:t>
        </w:r>
      </w:hyperlink>
      <w:r w:rsidRPr="003D4485">
        <w:t>]. These bacteria are particularly worrisome because they can develop resistance to multiple antibiotics, including those considered a last resort [</w:t>
      </w:r>
      <w:hyperlink r:id="rId7" w:anchor="B2-antibiotics-13-00592" w:history="1">
        <w:r w:rsidRPr="003D4485">
          <w:rPr>
            <w:rStyle w:val="Hyperlink"/>
            <w:b/>
            <w:bCs/>
          </w:rPr>
          <w:t>2</w:t>
        </w:r>
      </w:hyperlink>
      <w:r w:rsidRPr="003D4485">
        <w:t>]. Among </w:t>
      </w:r>
      <w:r w:rsidRPr="003D4485">
        <w:rPr>
          <w:i/>
          <w:iCs/>
        </w:rPr>
        <w:t>Enterobacter</w:t>
      </w:r>
      <w:r w:rsidRPr="003D4485">
        <w:t> species, the </w:t>
      </w:r>
      <w:r w:rsidRPr="003D4485">
        <w:rPr>
          <w:i/>
          <w:iCs/>
        </w:rPr>
        <w:t>Enterobacter cloacae</w:t>
      </w:r>
      <w:r w:rsidRPr="003D4485">
        <w:t> complex (ECC) has developed specific mechanisms of resistance to carbapenems and other β-lactam antibiotics [</w:t>
      </w:r>
      <w:hyperlink r:id="rId8" w:anchor="B2-antibiotics-13-00592" w:history="1">
        <w:r w:rsidRPr="003D4485">
          <w:rPr>
            <w:rStyle w:val="Hyperlink"/>
            <w:b/>
            <w:bCs/>
          </w:rPr>
          <w:t>2</w:t>
        </w:r>
      </w:hyperlink>
      <w:r w:rsidRPr="003D4485">
        <w:t>,</w:t>
      </w:r>
      <w:hyperlink r:id="rId9" w:anchor="B3-antibiotics-13-00592" w:history="1">
        <w:r w:rsidRPr="003D4485">
          <w:rPr>
            <w:rStyle w:val="Hyperlink"/>
            <w:b/>
            <w:bCs/>
          </w:rPr>
          <w:t>3</w:t>
        </w:r>
      </w:hyperlink>
      <w:r w:rsidRPr="003D4485">
        <w:t>,</w:t>
      </w:r>
      <w:hyperlink r:id="rId10" w:anchor="B4-antibiotics-13-00592" w:history="1">
        <w:r w:rsidRPr="003D4485">
          <w:rPr>
            <w:rStyle w:val="Hyperlink"/>
            <w:b/>
            <w:bCs/>
          </w:rPr>
          <w:t>4</w:t>
        </w:r>
      </w:hyperlink>
      <w:r w:rsidRPr="003D4485">
        <w:t xml:space="preserve">]. Consequently, ECC species are capable of causing various infections, including bloodstream, intra-abdominal, urinary tract, gastrointestinal, and pulmonary infections, which can culminate in life-threatening </w:t>
      </w:r>
      <w:proofErr w:type="spellStart"/>
      <w:r w:rsidRPr="003D4485">
        <w:t>bacteremia</w:t>
      </w:r>
      <w:proofErr w:type="spellEnd"/>
      <w:r w:rsidRPr="003D4485">
        <w:t>, with a mortality rate of up to 40% [</w:t>
      </w:r>
      <w:hyperlink r:id="rId11" w:anchor="B5-antibiotics-13-00592" w:history="1">
        <w:r w:rsidRPr="003D4485">
          <w:rPr>
            <w:rStyle w:val="Hyperlink"/>
            <w:b/>
            <w:bCs/>
          </w:rPr>
          <w:t>5</w:t>
        </w:r>
      </w:hyperlink>
      <w:r w:rsidRPr="003D4485">
        <w:t>,</w:t>
      </w:r>
      <w:hyperlink r:id="rId12" w:anchor="B6-antibiotics-13-00592" w:history="1">
        <w:r w:rsidRPr="003D4485">
          <w:rPr>
            <w:rStyle w:val="Hyperlink"/>
            <w:b/>
            <w:bCs/>
          </w:rPr>
          <w:t>6</w:t>
        </w:r>
      </w:hyperlink>
      <w:r w:rsidRPr="003D4485">
        <w:t>,</w:t>
      </w:r>
      <w:hyperlink r:id="rId13" w:anchor="B7-antibiotics-13-00592" w:history="1">
        <w:r w:rsidRPr="003D4485">
          <w:rPr>
            <w:rStyle w:val="Hyperlink"/>
            <w:b/>
            <w:bCs/>
          </w:rPr>
          <w:t>7</w:t>
        </w:r>
      </w:hyperlink>
      <w:r w:rsidRPr="003D4485">
        <w:t>]. The </w:t>
      </w:r>
      <w:r w:rsidRPr="003D4485">
        <w:rPr>
          <w:i/>
          <w:iCs/>
        </w:rPr>
        <w:t>Enterobacter cloacae</w:t>
      </w:r>
      <w:r w:rsidRPr="003D4485">
        <w:t xml:space="preserve"> complex (ECC) is often linked with the multidrug-resistant (MDR) phenotype due to its substantial ability to acquire genetic elements that encode resistance genes. Additionally, ECC is inherently resistant to multiple antibiotics, such as ampicillin, amoxicillin/clavulanic acid, cephamycin, and first- and second-generation cephalosporins, due to the chromosomal encoding of </w:t>
      </w:r>
      <w:proofErr w:type="spellStart"/>
      <w:r w:rsidRPr="003D4485">
        <w:t>AmpC</w:t>
      </w:r>
      <w:proofErr w:type="spellEnd"/>
      <w:r w:rsidRPr="003D4485">
        <w:t>-type β-lactamase. More concerning is the emergence of the carbapenem-resistant </w:t>
      </w:r>
      <w:r w:rsidRPr="003D4485">
        <w:rPr>
          <w:i/>
          <w:iCs/>
        </w:rPr>
        <w:t>Enterobacter cloacae</w:t>
      </w:r>
      <w:r w:rsidRPr="003D4485">
        <w:t> complex (CR-ECC), which has created significant challenges for the clinical treatment of infections [</w:t>
      </w:r>
      <w:hyperlink r:id="rId14" w:anchor="B8-antibiotics-13-00592" w:history="1">
        <w:r w:rsidRPr="003D4485">
          <w:rPr>
            <w:rStyle w:val="Hyperlink"/>
            <w:b/>
            <w:bCs/>
          </w:rPr>
          <w:t>8</w:t>
        </w:r>
      </w:hyperlink>
      <w:r w:rsidRPr="003D4485">
        <w:t>].</w:t>
      </w:r>
    </w:p>
    <w:p w14:paraId="6A7BAE47" w14:textId="77777777" w:rsidR="003D4485" w:rsidRDefault="003D4485"/>
    <w:p w14:paraId="2FA0E930" w14:textId="15BC0285" w:rsidR="003D4485" w:rsidRDefault="003D4485">
      <w:r w:rsidRPr="003D4485">
        <w:t>At present, </w:t>
      </w:r>
      <w:r w:rsidRPr="003D4485">
        <w:rPr>
          <w:i/>
          <w:iCs/>
        </w:rPr>
        <w:t xml:space="preserve">Enterobacter </w:t>
      </w:r>
      <w:proofErr w:type="spellStart"/>
      <w:r w:rsidRPr="003D4485">
        <w:rPr>
          <w:i/>
          <w:iCs/>
        </w:rPr>
        <w:t>hormaechei</w:t>
      </w:r>
      <w:proofErr w:type="spellEnd"/>
      <w:r w:rsidRPr="003D4485">
        <w:t> has emerged as one of the most prevalent pathogens among CR-ECC isolates in hospital settings, with its infection rate rising annually and several outbreaks having been reported in recent years</w:t>
      </w:r>
    </w:p>
    <w:p w14:paraId="3E00DFEA" w14:textId="77777777" w:rsidR="001D56E6" w:rsidRDefault="001D56E6"/>
    <w:p w14:paraId="4E249E2C" w14:textId="3A922072" w:rsidR="001D56E6" w:rsidRDefault="001D56E6">
      <w:r w:rsidRPr="001D56E6">
        <w:t xml:space="preserve">Typically, colistin is one of the last-resort antibiotics for treating infections caused by CR-ECC isolates; however, the global spread of plasmid-mediated </w:t>
      </w:r>
      <w:r w:rsidRPr="001D56E6">
        <w:rPr>
          <w:highlight w:val="yellow"/>
        </w:rPr>
        <w:t>colistin</w:t>
      </w:r>
      <w:r w:rsidRPr="001D56E6">
        <w:t xml:space="preserve"> resistance genes (</w:t>
      </w:r>
      <w:proofErr w:type="spellStart"/>
      <w:r w:rsidRPr="001D56E6">
        <w:rPr>
          <w:i/>
          <w:iCs/>
        </w:rPr>
        <w:t>mcr</w:t>
      </w:r>
      <w:proofErr w:type="spellEnd"/>
      <w:r w:rsidRPr="001D56E6">
        <w:t xml:space="preserve">) has challenged its efficacy. </w:t>
      </w:r>
      <w:r w:rsidRPr="001D56E6">
        <w:rPr>
          <w:highlight w:val="yellow"/>
        </w:rPr>
        <w:t>Besides colistin, tigecycline</w:t>
      </w:r>
      <w:r w:rsidRPr="001D56E6">
        <w:t xml:space="preserve"> might be the only remaining treatment option for CR-ECC infections. Nevertheless, since its approval in 2005, </w:t>
      </w:r>
      <w:r w:rsidRPr="001D56E6">
        <w:rPr>
          <w:highlight w:val="yellow"/>
        </w:rPr>
        <w:t>tigecycline-resistant strains have increasingly been found in clinical settings</w:t>
      </w:r>
      <w:r w:rsidRPr="001D56E6">
        <w:t>. Recent studies have shown that </w:t>
      </w:r>
      <w:r w:rsidRPr="001D56E6">
        <w:rPr>
          <w:i/>
          <w:iCs/>
        </w:rPr>
        <w:t xml:space="preserve">Enterobacter </w:t>
      </w:r>
      <w:proofErr w:type="spellStart"/>
      <w:r w:rsidRPr="001D56E6">
        <w:rPr>
          <w:i/>
          <w:iCs/>
        </w:rPr>
        <w:t>hormaechei</w:t>
      </w:r>
      <w:proofErr w:type="spellEnd"/>
      <w:r w:rsidRPr="001D56E6">
        <w:t> has developed resistance to tigecycline through the acquisition of plasmid-borne </w:t>
      </w:r>
      <w:proofErr w:type="spellStart"/>
      <w:r w:rsidRPr="001D56E6">
        <w:rPr>
          <w:i/>
          <w:iCs/>
        </w:rPr>
        <w:t>tet</w:t>
      </w:r>
      <w:proofErr w:type="spellEnd"/>
      <w:r w:rsidRPr="001D56E6">
        <w:rPr>
          <w:i/>
          <w:iCs/>
        </w:rPr>
        <w:t>(A)</w:t>
      </w:r>
      <w:r w:rsidRPr="001D56E6">
        <w:t> variants and </w:t>
      </w:r>
      <w:proofErr w:type="spellStart"/>
      <w:r w:rsidRPr="001D56E6">
        <w:rPr>
          <w:i/>
          <w:iCs/>
        </w:rPr>
        <w:t>tet</w:t>
      </w:r>
      <w:proofErr w:type="spellEnd"/>
      <w:r w:rsidRPr="001D56E6">
        <w:rPr>
          <w:i/>
          <w:iCs/>
        </w:rPr>
        <w:t>(X4)</w:t>
      </w:r>
      <w:r w:rsidRPr="001D56E6">
        <w:t> </w:t>
      </w:r>
    </w:p>
    <w:p w14:paraId="1B5A07A4" w14:textId="77777777" w:rsidR="001D56E6" w:rsidRDefault="001D56E6"/>
    <w:p w14:paraId="2A06D45F" w14:textId="67FA9AE6" w:rsidR="001D56E6" w:rsidRDefault="001D56E6">
      <w:proofErr w:type="spellStart"/>
      <w:r w:rsidRPr="001D56E6">
        <w:lastRenderedPageBreak/>
        <w:t>Zong</w:t>
      </w:r>
      <w:proofErr w:type="spellEnd"/>
      <w:r w:rsidRPr="001D56E6">
        <w:t xml:space="preserve"> et al. examined 4899 high-quality </w:t>
      </w:r>
      <w:r w:rsidRPr="001D56E6">
        <w:rPr>
          <w:i/>
          <w:iCs/>
        </w:rPr>
        <w:t>Enterobacter</w:t>
      </w:r>
      <w:r w:rsidRPr="001D56E6">
        <w:t> genome sequences from GenBank with the dual goals of precise species identification and screening of resistance genes [</w:t>
      </w:r>
      <w:hyperlink r:id="rId15" w:anchor="B7-antibiotics-13-00592" w:history="1">
        <w:r w:rsidRPr="001D56E6">
          <w:rPr>
            <w:rStyle w:val="Hyperlink"/>
            <w:b/>
            <w:bCs/>
          </w:rPr>
          <w:t>7</w:t>
        </w:r>
      </w:hyperlink>
      <w:r w:rsidRPr="001D56E6">
        <w:t>]. The results showed that </w:t>
      </w:r>
      <w:r w:rsidRPr="001D56E6">
        <w:rPr>
          <w:i/>
          <w:iCs/>
        </w:rPr>
        <w:t xml:space="preserve">Enterobacter </w:t>
      </w:r>
      <w:proofErr w:type="spellStart"/>
      <w:r w:rsidRPr="001D56E6">
        <w:rPr>
          <w:i/>
          <w:iCs/>
        </w:rPr>
        <w:t>hormaechei</w:t>
      </w:r>
      <w:proofErr w:type="spellEnd"/>
      <w:r w:rsidRPr="001D56E6">
        <w:t> subsp. </w:t>
      </w:r>
      <w:proofErr w:type="spellStart"/>
      <w:r w:rsidRPr="001D56E6">
        <w:rPr>
          <w:i/>
          <w:iCs/>
          <w:highlight w:val="yellow"/>
        </w:rPr>
        <w:t>xiangfangensis</w:t>
      </w:r>
      <w:proofErr w:type="spellEnd"/>
      <w:r w:rsidRPr="001D56E6">
        <w:t> is the most widespread species worldwide, with the </w:t>
      </w:r>
      <w:proofErr w:type="spellStart"/>
      <w:r w:rsidRPr="001D56E6">
        <w:rPr>
          <w:i/>
          <w:iCs/>
        </w:rPr>
        <w:t>bla</w:t>
      </w:r>
      <w:r w:rsidRPr="001D56E6">
        <w:rPr>
          <w:vertAlign w:val="subscript"/>
        </w:rPr>
        <w:t>NDM</w:t>
      </w:r>
      <w:proofErr w:type="spellEnd"/>
      <w:r w:rsidRPr="001D56E6">
        <w:t xml:space="preserve"> gene predominantly occurring in </w:t>
      </w:r>
      <w:r w:rsidRPr="001D56E6">
        <w:rPr>
          <w:highlight w:val="yellow"/>
        </w:rPr>
        <w:t>China</w:t>
      </w:r>
      <w:r w:rsidRPr="001D56E6">
        <w:t>. Several high-risk </w:t>
      </w:r>
      <w:r w:rsidRPr="001D56E6">
        <w:rPr>
          <w:i/>
          <w:iCs/>
        </w:rPr>
        <w:t>Enterobacter</w:t>
      </w:r>
      <w:r w:rsidRPr="001D56E6">
        <w:t xml:space="preserve"> clones associated with carbapenem resistance have also been discovered. In particular, the </w:t>
      </w:r>
      <w:proofErr w:type="spellStart"/>
      <w:r w:rsidRPr="001D56E6">
        <w:t>carbapenemase</w:t>
      </w:r>
      <w:proofErr w:type="spellEnd"/>
      <w:r w:rsidRPr="001D56E6">
        <w:t>-producing ST171 </w:t>
      </w:r>
      <w:r w:rsidRPr="001D56E6">
        <w:rPr>
          <w:i/>
          <w:iCs/>
        </w:rPr>
        <w:t xml:space="preserve">Enterobacter </w:t>
      </w:r>
      <w:proofErr w:type="spellStart"/>
      <w:r w:rsidRPr="001D56E6">
        <w:rPr>
          <w:i/>
          <w:iCs/>
        </w:rPr>
        <w:t>hormaechei</w:t>
      </w:r>
      <w:r w:rsidRPr="001D56E6">
        <w:t>subsp</w:t>
      </w:r>
      <w:proofErr w:type="spellEnd"/>
      <w:r w:rsidRPr="001D56E6">
        <w:t>. </w:t>
      </w:r>
      <w:proofErr w:type="spellStart"/>
      <w:r w:rsidRPr="00376617">
        <w:rPr>
          <w:i/>
          <w:iCs/>
          <w:highlight w:val="yellow"/>
        </w:rPr>
        <w:t>xiangfangensis</w:t>
      </w:r>
      <w:proofErr w:type="spellEnd"/>
      <w:r w:rsidRPr="00376617">
        <w:rPr>
          <w:highlight w:val="yellow"/>
        </w:rPr>
        <w:t> has been identified as a high-risk lineage in the United States</w:t>
      </w:r>
      <w:r w:rsidRPr="001D56E6">
        <w:t xml:space="preserve"> [</w:t>
      </w:r>
      <w:hyperlink r:id="rId16" w:anchor="B10-antibiotics-13-00592" w:history="1">
        <w:r w:rsidRPr="001D56E6">
          <w:rPr>
            <w:rStyle w:val="Hyperlink"/>
            <w:b/>
            <w:bCs/>
          </w:rPr>
          <w:t>10</w:t>
        </w:r>
      </w:hyperlink>
      <w:r w:rsidRPr="001D56E6">
        <w:t>,</w:t>
      </w:r>
      <w:hyperlink r:id="rId17" w:anchor="B11-antibiotics-13-00592" w:history="1">
        <w:r w:rsidRPr="001D56E6">
          <w:rPr>
            <w:rStyle w:val="Hyperlink"/>
            <w:b/>
            <w:bCs/>
          </w:rPr>
          <w:t>11</w:t>
        </w:r>
      </w:hyperlink>
      <w:r w:rsidRPr="001D56E6">
        <w:t>,</w:t>
      </w:r>
      <w:hyperlink r:id="rId18" w:anchor="B12-antibiotics-13-00592" w:history="1">
        <w:r w:rsidRPr="001D56E6">
          <w:rPr>
            <w:rStyle w:val="Hyperlink"/>
            <w:b/>
            <w:bCs/>
          </w:rPr>
          <w:t>12</w:t>
        </w:r>
      </w:hyperlink>
      <w:r w:rsidRPr="001D56E6">
        <w:t>]. Additionally, globally distributed clones such as ST90, ST93, and ST114 from </w:t>
      </w:r>
      <w:r w:rsidRPr="001D56E6">
        <w:rPr>
          <w:i/>
          <w:iCs/>
        </w:rPr>
        <w:t xml:space="preserve">Enterobacter </w:t>
      </w:r>
      <w:proofErr w:type="spellStart"/>
      <w:r w:rsidRPr="001D56E6">
        <w:rPr>
          <w:i/>
          <w:iCs/>
        </w:rPr>
        <w:t>hormaechei</w:t>
      </w:r>
      <w:proofErr w:type="spellEnd"/>
      <w:r w:rsidRPr="001D56E6">
        <w:t> subsp. </w:t>
      </w:r>
      <w:proofErr w:type="spellStart"/>
      <w:r w:rsidRPr="001D56E6">
        <w:rPr>
          <w:i/>
          <w:iCs/>
        </w:rPr>
        <w:t>xiangfangensis</w:t>
      </w:r>
      <w:proofErr w:type="spellEnd"/>
      <w:r w:rsidRPr="001D56E6">
        <w:t> and ST78 from </w:t>
      </w:r>
      <w:r w:rsidRPr="001D56E6">
        <w:rPr>
          <w:i/>
          <w:iCs/>
        </w:rPr>
        <w:t xml:space="preserve">Enterobacter </w:t>
      </w:r>
      <w:proofErr w:type="spellStart"/>
      <w:r w:rsidRPr="001D56E6">
        <w:rPr>
          <w:i/>
          <w:iCs/>
        </w:rPr>
        <w:t>hoffmannii</w:t>
      </w:r>
      <w:proofErr w:type="spellEnd"/>
      <w:r w:rsidRPr="001D56E6">
        <w:t xml:space="preserve"> have been associated with several </w:t>
      </w:r>
      <w:proofErr w:type="spellStart"/>
      <w:r w:rsidRPr="001D56E6">
        <w:t>carbapenemases</w:t>
      </w:r>
      <w:proofErr w:type="spellEnd"/>
      <w:r w:rsidRPr="001D56E6">
        <w:t xml:space="preserve"> (VIM, NDM, KPC, and OXA-48) [</w:t>
      </w:r>
      <w:hyperlink r:id="rId19" w:anchor="B13-antibiotics-13-00592" w:history="1">
        <w:r w:rsidRPr="001D56E6">
          <w:rPr>
            <w:rStyle w:val="Hyperlink"/>
            <w:b/>
            <w:bCs/>
          </w:rPr>
          <w:t>13</w:t>
        </w:r>
      </w:hyperlink>
      <w:r w:rsidRPr="001D56E6">
        <w:t>]. </w:t>
      </w:r>
    </w:p>
    <w:p w14:paraId="391D9F81" w14:textId="77777777" w:rsidR="00376617" w:rsidRDefault="00376617"/>
    <w:p w14:paraId="35A3FC8D" w14:textId="18F6FBF8" w:rsidR="00376617" w:rsidRPr="00376617" w:rsidRDefault="00376617">
      <w:pPr>
        <w:rPr>
          <w:b/>
          <w:bCs/>
        </w:rPr>
      </w:pPr>
      <w:r w:rsidRPr="00376617">
        <w:rPr>
          <w:b/>
          <w:bCs/>
        </w:rPr>
        <w:t xml:space="preserve">In the study </w:t>
      </w:r>
    </w:p>
    <w:p w14:paraId="045E91CE" w14:textId="77777777" w:rsidR="00376617" w:rsidRPr="00376617" w:rsidRDefault="00376617" w:rsidP="00376617">
      <w:r w:rsidRPr="00376617">
        <w:t>Eight isolates were identified as </w:t>
      </w:r>
      <w:r w:rsidRPr="00376617">
        <w:rPr>
          <w:i/>
          <w:iCs/>
        </w:rPr>
        <w:t xml:space="preserve">Enterobacter </w:t>
      </w:r>
      <w:proofErr w:type="spellStart"/>
      <w:r w:rsidRPr="00376617">
        <w:rPr>
          <w:i/>
          <w:iCs/>
        </w:rPr>
        <w:t>hormaechei</w:t>
      </w:r>
      <w:proofErr w:type="spellEnd"/>
      <w:r w:rsidRPr="00376617">
        <w:t>, with two belonging to the </w:t>
      </w:r>
      <w:proofErr w:type="spellStart"/>
      <w:r w:rsidRPr="00376617">
        <w:rPr>
          <w:i/>
          <w:iCs/>
        </w:rPr>
        <w:t>steigerwaltii</w:t>
      </w:r>
      <w:proofErr w:type="spellEnd"/>
      <w:r w:rsidRPr="00376617">
        <w:t> subspecies and one to the </w:t>
      </w:r>
      <w:proofErr w:type="spellStart"/>
      <w:r w:rsidRPr="00376617">
        <w:rPr>
          <w:i/>
          <w:iCs/>
        </w:rPr>
        <w:t>xiangfangensis</w:t>
      </w:r>
      <w:proofErr w:type="spellEnd"/>
      <w:r w:rsidRPr="00376617">
        <w:t> subspecies (</w:t>
      </w:r>
      <w:hyperlink r:id="rId20" w:anchor="table_body_display_antibiotics-13-00592-t001" w:history="1">
        <w:r w:rsidRPr="00376617">
          <w:rPr>
            <w:rStyle w:val="Hyperlink"/>
            <w:b/>
            <w:bCs/>
          </w:rPr>
          <w:t>Table 1</w:t>
        </w:r>
      </w:hyperlink>
      <w:r w:rsidRPr="00376617">
        <w:t>). The bacterial isolates were derived from different sites on the bodies of the patients, including wound swabs, sputum, tissue, and urine. Of the sequence types (STs) identified, ST90 was the predominant one at 37.5% (3/8), followed by ST124 at 25% (2/8). Additionally, three different singleton STs were observed: ST182, ST269, and ST171, each occurring once (n = 3; </w:t>
      </w:r>
      <w:hyperlink r:id="rId21" w:anchor="table_body_display_antibiotics-13-00592-t001" w:history="1">
        <w:r w:rsidRPr="00376617">
          <w:rPr>
            <w:rStyle w:val="Hyperlink"/>
            <w:b/>
            <w:bCs/>
          </w:rPr>
          <w:t>Table 1</w:t>
        </w:r>
      </w:hyperlink>
      <w:r w:rsidRPr="00376617">
        <w:t>).</w:t>
      </w:r>
    </w:p>
    <w:p w14:paraId="3B0C4D66" w14:textId="77777777" w:rsidR="00376617" w:rsidRPr="00376617" w:rsidRDefault="00376617" w:rsidP="00376617"/>
    <w:p w14:paraId="3065B14D" w14:textId="6C94C004" w:rsidR="00376617" w:rsidRDefault="00376617">
      <w:r w:rsidRPr="00376617">
        <w:t>The minimum inhibitory concentration (MIC) results are presented in </w:t>
      </w:r>
      <w:hyperlink r:id="rId22" w:anchor="table_body_display_antibiotics-13-00592-t002" w:history="1">
        <w:r w:rsidRPr="00376617">
          <w:rPr>
            <w:rStyle w:val="Hyperlink"/>
            <w:b/>
            <w:bCs/>
          </w:rPr>
          <w:t>Table 2</w:t>
        </w:r>
      </w:hyperlink>
      <w:r w:rsidRPr="00376617">
        <w:t xml:space="preserve">, which indicate that all eight isolates exhibit a broad spectrum of drug resistance, classifying them as multidrug-resistant bacteria. </w:t>
      </w:r>
      <w:r w:rsidRPr="00376617">
        <w:rPr>
          <w:highlight w:val="yellow"/>
        </w:rPr>
        <w:t>Specifically, all eight </w:t>
      </w:r>
      <w:r w:rsidRPr="00376617">
        <w:rPr>
          <w:i/>
          <w:iCs/>
          <w:highlight w:val="yellow"/>
        </w:rPr>
        <w:t>Enterobacter</w:t>
      </w:r>
      <w:r w:rsidRPr="00376617">
        <w:rPr>
          <w:highlight w:val="yellow"/>
        </w:rPr>
        <w:t xml:space="preserve"> isolates were resistant to piperacillin/tazobactam, cefotaxime, ceftazidime, </w:t>
      </w:r>
      <w:proofErr w:type="spellStart"/>
      <w:r w:rsidRPr="00376617">
        <w:rPr>
          <w:highlight w:val="yellow"/>
        </w:rPr>
        <w:t>ceftolozane</w:t>
      </w:r>
      <w:proofErr w:type="spellEnd"/>
      <w:r w:rsidRPr="00376617">
        <w:rPr>
          <w:highlight w:val="yellow"/>
        </w:rPr>
        <w:t>/tazobactam, imipenem, and gentamicin</w:t>
      </w:r>
      <w:r w:rsidRPr="00376617">
        <w:t xml:space="preserve">. Furthermore, </w:t>
      </w:r>
      <w:proofErr w:type="gramStart"/>
      <w:r w:rsidRPr="00376617">
        <w:t>the majority of</w:t>
      </w:r>
      <w:proofErr w:type="gramEnd"/>
      <w:r w:rsidRPr="00376617">
        <w:t xml:space="preserve"> the isolates (</w:t>
      </w:r>
      <w:r w:rsidRPr="00376617">
        <w:rPr>
          <w:highlight w:val="yellow"/>
        </w:rPr>
        <w:t>seven out of eight) showed phenotypic resistance to CAZ/AVI, cefepime, meropenem, and ciprofloxacin.</w:t>
      </w:r>
      <w:r w:rsidRPr="00376617">
        <w:t xml:space="preserve"> Of these isolates, </w:t>
      </w:r>
      <w:r w:rsidRPr="00376617">
        <w:rPr>
          <w:highlight w:val="yellow"/>
        </w:rPr>
        <w:t>five were resistant to trimethoprim/sulfamethoxazole, and only one showed resistance to tigecycline</w:t>
      </w:r>
      <w:r w:rsidRPr="00376617">
        <w:t xml:space="preserve">. Variable susceptibility to </w:t>
      </w:r>
      <w:r w:rsidRPr="00376617">
        <w:rPr>
          <w:highlight w:val="yellow"/>
        </w:rPr>
        <w:t>amikacin</w:t>
      </w:r>
      <w:r w:rsidRPr="00376617">
        <w:t xml:space="preserve"> was observed, with none of the isolates being resistant. Notably, five isolates—three of which belonged to ST90 (CRE48, CRE52, and CRE60) and the remaining two to ST-124 (CRE41 and CRE46)—exhibited resistance to colistin</w:t>
      </w:r>
    </w:p>
    <w:p w14:paraId="634BC4F9" w14:textId="77777777" w:rsidR="00376617" w:rsidRDefault="00376617"/>
    <w:p w14:paraId="10BE5B49" w14:textId="77F2AE1C" w:rsidR="00376617" w:rsidRDefault="00376617">
      <w:r w:rsidRPr="00376617">
        <w:t xml:space="preserve">The extensive </w:t>
      </w:r>
      <w:proofErr w:type="spellStart"/>
      <w:r w:rsidRPr="00376617">
        <w:t>gray</w:t>
      </w:r>
      <w:proofErr w:type="spellEnd"/>
      <w:r w:rsidRPr="00376617">
        <w:t xml:space="preserve"> shading suggests large regions of shared genomic content, while the red lines indicate a strong genetic relationship specifically linked to the </w:t>
      </w:r>
      <w:r w:rsidRPr="00376617">
        <w:rPr>
          <w:i/>
          <w:iCs/>
        </w:rPr>
        <w:t>bla</w:t>
      </w:r>
      <w:r w:rsidRPr="00376617">
        <w:rPr>
          <w:vertAlign w:val="subscript"/>
        </w:rPr>
        <w:t>NDM-1</w:t>
      </w:r>
      <w:r w:rsidRPr="00376617">
        <w:t> gene, supporting the hypothesis of horizontal gene transfer events that could spread resistance mechanisms across different bacterial hosts</w:t>
      </w:r>
    </w:p>
    <w:p w14:paraId="1D428278" w14:textId="77777777" w:rsidR="00341A8A" w:rsidRDefault="00341A8A"/>
    <w:p w14:paraId="15D6D867" w14:textId="1CE0C7BF" w:rsidR="00341A8A" w:rsidRDefault="00341A8A">
      <w:r w:rsidRPr="00341A8A">
        <w:rPr>
          <w:i/>
          <w:iCs/>
        </w:rPr>
        <w:t xml:space="preserve">Enterobacter </w:t>
      </w:r>
      <w:proofErr w:type="spellStart"/>
      <w:r w:rsidRPr="00341A8A">
        <w:rPr>
          <w:i/>
          <w:iCs/>
        </w:rPr>
        <w:t>hormaechei</w:t>
      </w:r>
      <w:proofErr w:type="spellEnd"/>
      <w:r w:rsidRPr="00341A8A">
        <w:t>, first characterized and named in 1989, has gained prominence as a significant pathogen within healthcare settings [</w:t>
      </w:r>
      <w:hyperlink r:id="rId23" w:anchor="B14-antibiotics-13-00592" w:history="1">
        <w:r w:rsidRPr="00341A8A">
          <w:rPr>
            <w:rStyle w:val="Hyperlink"/>
            <w:b/>
            <w:bCs/>
          </w:rPr>
          <w:t>14</w:t>
        </w:r>
      </w:hyperlink>
      <w:r w:rsidRPr="00341A8A">
        <w:t xml:space="preserve">]. Its distinctive characteristic lies in its capability to </w:t>
      </w:r>
      <w:r w:rsidRPr="00341A8A">
        <w:rPr>
          <w:highlight w:val="yellow"/>
        </w:rPr>
        <w:t>survive in the hospital environment</w:t>
      </w:r>
      <w:r w:rsidRPr="00341A8A">
        <w:t xml:space="preserve">, thereby developing resistance to multiple antibiotics and </w:t>
      </w:r>
      <w:r w:rsidRPr="00341A8A">
        <w:rPr>
          <w:highlight w:val="yellow"/>
        </w:rPr>
        <w:t>acting as a reservoir for infection and the transmission of drug resistance</w:t>
      </w:r>
      <w:r w:rsidRPr="00341A8A">
        <w:t xml:space="preserve"> in nosocomial infections [</w:t>
      </w:r>
      <w:hyperlink r:id="rId24" w:anchor="B15-antibiotics-13-00592" w:history="1">
        <w:r w:rsidRPr="00341A8A">
          <w:rPr>
            <w:rStyle w:val="Hyperlink"/>
            <w:b/>
            <w:bCs/>
          </w:rPr>
          <w:t>15</w:t>
        </w:r>
      </w:hyperlink>
      <w:r w:rsidRPr="00341A8A">
        <w:t>,</w:t>
      </w:r>
      <w:hyperlink r:id="rId25" w:anchor="B16-antibiotics-13-00592" w:history="1">
        <w:r w:rsidRPr="00341A8A">
          <w:rPr>
            <w:rStyle w:val="Hyperlink"/>
            <w:b/>
            <w:bCs/>
          </w:rPr>
          <w:t>16</w:t>
        </w:r>
      </w:hyperlink>
      <w:r w:rsidRPr="00341A8A">
        <w:t>]. In a formal context, certain rare strains of </w:t>
      </w:r>
      <w:r w:rsidRPr="00341A8A">
        <w:rPr>
          <w:i/>
          <w:iCs/>
        </w:rPr>
        <w:t xml:space="preserve">Enterobacter </w:t>
      </w:r>
      <w:proofErr w:type="spellStart"/>
      <w:r w:rsidRPr="00341A8A">
        <w:rPr>
          <w:i/>
          <w:iCs/>
        </w:rPr>
        <w:t>hormaechei</w:t>
      </w:r>
      <w:proofErr w:type="spellEnd"/>
      <w:r w:rsidRPr="00341A8A">
        <w:t xml:space="preserve"> have been found to carry ESBLs and have increased production of </w:t>
      </w:r>
      <w:proofErr w:type="spellStart"/>
      <w:r w:rsidRPr="00341A8A">
        <w:t>AmpC</w:t>
      </w:r>
      <w:proofErr w:type="spellEnd"/>
      <w:r w:rsidRPr="00341A8A">
        <w:t xml:space="preserve"> cephalosporinase [</w:t>
      </w:r>
      <w:hyperlink r:id="rId26" w:anchor="B17-antibiotics-13-00592" w:history="1">
        <w:r w:rsidRPr="00341A8A">
          <w:rPr>
            <w:rStyle w:val="Hyperlink"/>
            <w:b/>
            <w:bCs/>
          </w:rPr>
          <w:t>17</w:t>
        </w:r>
      </w:hyperlink>
      <w:r w:rsidRPr="00341A8A">
        <w:t>]. Subsequently, there have been reports of </w:t>
      </w:r>
      <w:r w:rsidRPr="00341A8A">
        <w:rPr>
          <w:i/>
          <w:iCs/>
        </w:rPr>
        <w:t xml:space="preserve">Enterobacter </w:t>
      </w:r>
      <w:proofErr w:type="spellStart"/>
      <w:r w:rsidRPr="00341A8A">
        <w:rPr>
          <w:i/>
          <w:iCs/>
        </w:rPr>
        <w:t>hormaechei</w:t>
      </w:r>
      <w:proofErr w:type="spellEnd"/>
      <w:r w:rsidRPr="00341A8A">
        <w:t xml:space="preserve"> strains producing </w:t>
      </w:r>
      <w:proofErr w:type="spellStart"/>
      <w:r w:rsidRPr="00341A8A">
        <w:lastRenderedPageBreak/>
        <w:t>carbapenemases</w:t>
      </w:r>
      <w:proofErr w:type="spellEnd"/>
      <w:r w:rsidRPr="00341A8A">
        <w:t xml:space="preserve"> worldwide, as shown in our present study and confirmed by other studies</w:t>
      </w:r>
    </w:p>
    <w:p w14:paraId="370D6D50" w14:textId="77777777" w:rsidR="00EA2BD3" w:rsidRDefault="00EA2BD3"/>
    <w:p w14:paraId="1730D749" w14:textId="567E3186" w:rsidR="00EA2BD3" w:rsidRDefault="00EA2BD3">
      <w:r w:rsidRPr="00EA2BD3">
        <w:t>These pathogens often exhibit an MDR</w:t>
      </w:r>
      <w:r>
        <w:t xml:space="preserve"> (mild drug </w:t>
      </w:r>
      <w:proofErr w:type="gramStart"/>
      <w:r>
        <w:t xml:space="preserve">resistance) </w:t>
      </w:r>
      <w:r w:rsidRPr="00EA2BD3">
        <w:t xml:space="preserve"> phenotype</w:t>
      </w:r>
      <w:proofErr w:type="gramEnd"/>
      <w:r w:rsidRPr="00EA2BD3">
        <w:t xml:space="preserve">, as shown in the current study, which further reinforces their epidemic </w:t>
      </w:r>
      <w:proofErr w:type="spellStart"/>
      <w:r w:rsidRPr="00EA2BD3">
        <w:t>behavior</w:t>
      </w:r>
      <w:proofErr w:type="spellEnd"/>
      <w:r w:rsidRPr="00EA2BD3">
        <w:t>. Due to these cumulative features, outbreak strains are likely to exhibit an antibiotic-resistant phenotype, thus making treatment difficult</w:t>
      </w:r>
    </w:p>
    <w:p w14:paraId="7D111EF3" w14:textId="77777777" w:rsidR="00EA2BD3" w:rsidRDefault="00EA2BD3"/>
    <w:p w14:paraId="077CA66B" w14:textId="28BDF84F" w:rsidR="00EA2BD3" w:rsidRDefault="00EA2BD3">
      <w:hyperlink r:id="rId27" w:history="1">
        <w:r w:rsidRPr="00F1446A">
          <w:rPr>
            <w:rStyle w:val="Hyperlink"/>
          </w:rPr>
          <w:t>https://www.mdpi.com/2227-9067/10/10/1696</w:t>
        </w:r>
      </w:hyperlink>
      <w:r>
        <w:t xml:space="preserve"> (2023) </w:t>
      </w:r>
    </w:p>
    <w:p w14:paraId="32DC3417" w14:textId="77777777" w:rsidR="008F3C8C" w:rsidRDefault="008F3C8C"/>
    <w:p w14:paraId="20DC9AC6" w14:textId="77777777" w:rsidR="00CE5754" w:rsidRPr="00CE5754" w:rsidRDefault="00CE5754" w:rsidP="00CE5754">
      <w:pPr>
        <w:rPr>
          <w:b/>
          <w:bCs/>
        </w:rPr>
      </w:pPr>
      <w:r w:rsidRPr="00CE5754">
        <w:rPr>
          <w:b/>
          <w:bCs/>
        </w:rPr>
        <w:t xml:space="preserve">Application of Next-Generation Sequencing to Enterobacter </w:t>
      </w:r>
      <w:proofErr w:type="spellStart"/>
      <w:r w:rsidRPr="00CE5754">
        <w:rPr>
          <w:b/>
          <w:bCs/>
        </w:rPr>
        <w:t>Hormaechei</w:t>
      </w:r>
      <w:proofErr w:type="spellEnd"/>
      <w:r w:rsidRPr="00CE5754">
        <w:rPr>
          <w:b/>
          <w:bCs/>
        </w:rPr>
        <w:t xml:space="preserve"> Subspecies Analysis during a Neonatal Intensive Care Unit Outbreak </w:t>
      </w:r>
    </w:p>
    <w:p w14:paraId="4A2A5467" w14:textId="77777777" w:rsidR="00CE5754" w:rsidRPr="00CE5754" w:rsidRDefault="00CE5754" w:rsidP="00CE5754"/>
    <w:p w14:paraId="270F912B" w14:textId="77777777" w:rsidR="008F3C8C" w:rsidRDefault="008F3C8C"/>
    <w:p w14:paraId="11756A87" w14:textId="77777777" w:rsidR="00CE5754" w:rsidRPr="00CE5754" w:rsidRDefault="00CE5754" w:rsidP="00CE5754">
      <w:r w:rsidRPr="00CE5754">
        <w:t>In 1997, Wenger et al. reported a case series involving six instances of </w:t>
      </w:r>
      <w:r w:rsidRPr="00CE5754">
        <w:rPr>
          <w:i/>
          <w:iCs/>
        </w:rPr>
        <w:t xml:space="preserve">E. </w:t>
      </w:r>
      <w:proofErr w:type="spellStart"/>
      <w:r w:rsidRPr="00CE5754">
        <w:rPr>
          <w:i/>
          <w:iCs/>
        </w:rPr>
        <w:t>hormaechei</w:t>
      </w:r>
      <w:proofErr w:type="spellEnd"/>
      <w:r w:rsidRPr="00CE5754">
        <w:t> </w:t>
      </w:r>
      <w:r w:rsidRPr="00CE5754">
        <w:rPr>
          <w:highlight w:val="yellow"/>
        </w:rPr>
        <w:t>bloodstream infections</w:t>
      </w:r>
      <w:r w:rsidRPr="00CE5754">
        <w:t xml:space="preserve"> and four cases of colonisation of preterm infants at the Hospital of the </w:t>
      </w:r>
      <w:r w:rsidRPr="00CE5754">
        <w:rPr>
          <w:highlight w:val="yellow"/>
        </w:rPr>
        <w:t>University of Pennsylvania, USA</w:t>
      </w:r>
      <w:r w:rsidRPr="00CE5754">
        <w:t>. The affected neonates had a low gestational age and birth weight. The transmission of </w:t>
      </w:r>
      <w:r w:rsidRPr="00CE5754">
        <w:rPr>
          <w:i/>
          <w:iCs/>
        </w:rPr>
        <w:t xml:space="preserve">E. </w:t>
      </w:r>
      <w:proofErr w:type="spellStart"/>
      <w:r w:rsidRPr="00CE5754">
        <w:rPr>
          <w:i/>
          <w:iCs/>
        </w:rPr>
        <w:t>hormaechei</w:t>
      </w:r>
      <w:proofErr w:type="spellEnd"/>
      <w:r w:rsidRPr="00CE5754">
        <w:t> within the hospital setting may have been facilitated by environmental contamination, such as the contamination of neonatal incubator systems and doorknobs, as well as lapses in infection control practices among healthcare workers [</w:t>
      </w:r>
      <w:hyperlink r:id="rId28" w:anchor="B49-children-10-01696" w:history="1">
        <w:r w:rsidRPr="00CE5754">
          <w:rPr>
            <w:rStyle w:val="Hyperlink"/>
            <w:b/>
            <w:bCs/>
          </w:rPr>
          <w:t>49</w:t>
        </w:r>
      </w:hyperlink>
      <w:r w:rsidRPr="00CE5754">
        <w:t>].</w:t>
      </w:r>
    </w:p>
    <w:p w14:paraId="60848007" w14:textId="77777777" w:rsidR="00CE5754" w:rsidRDefault="00CE5754" w:rsidP="00CE5754"/>
    <w:p w14:paraId="2B0E7535" w14:textId="77777777" w:rsidR="00CE5754" w:rsidRDefault="00CE5754" w:rsidP="00CE5754"/>
    <w:p w14:paraId="4CA09038" w14:textId="4E6E39F1" w:rsidR="00CE5754" w:rsidRDefault="00CE5754" w:rsidP="00CE5754">
      <w:r w:rsidRPr="00CE5754">
        <w:t>Da Silva et al. described six cases of neonates with </w:t>
      </w:r>
      <w:r w:rsidRPr="00CE5754">
        <w:rPr>
          <w:i/>
          <w:iCs/>
        </w:rPr>
        <w:t xml:space="preserve">E. </w:t>
      </w:r>
      <w:proofErr w:type="spellStart"/>
      <w:r w:rsidRPr="00CE5754">
        <w:rPr>
          <w:i/>
          <w:iCs/>
        </w:rPr>
        <w:t>hormaechei</w:t>
      </w:r>
      <w:proofErr w:type="spellEnd"/>
      <w:r w:rsidRPr="00CE5754">
        <w:t xml:space="preserve"> bloodstream infection in three </w:t>
      </w:r>
      <w:r w:rsidRPr="00CE5754">
        <w:rPr>
          <w:highlight w:val="yellow"/>
        </w:rPr>
        <w:t>NICUs in Rio de Janeiro, Brazil</w:t>
      </w:r>
      <w:r w:rsidRPr="00CE5754">
        <w:t>, in 2002 with complete recovery under antibiotic treatment. While the source remained unclear, parenteral nutrition was identified as the only common procedure [</w:t>
      </w:r>
      <w:hyperlink r:id="rId29" w:anchor="B50-children-10-01696" w:history="1">
        <w:r w:rsidRPr="00CE5754">
          <w:rPr>
            <w:rStyle w:val="Hyperlink"/>
            <w:b/>
            <w:bCs/>
          </w:rPr>
          <w:t>50</w:t>
        </w:r>
      </w:hyperlink>
      <w:r w:rsidRPr="00CE5754">
        <w:t xml:space="preserve">]. In contrast, </w:t>
      </w:r>
      <w:proofErr w:type="spellStart"/>
      <w:r w:rsidRPr="00CE5754">
        <w:t>Dyabi</w:t>
      </w:r>
      <w:proofErr w:type="spellEnd"/>
      <w:r w:rsidRPr="00CE5754">
        <w:t xml:space="preserve"> et al. reported a series of three fatalities among </w:t>
      </w:r>
      <w:r w:rsidRPr="00CE5754">
        <w:rPr>
          <w:highlight w:val="yellow"/>
        </w:rPr>
        <w:t>five </w:t>
      </w:r>
      <w:r w:rsidRPr="00CE5754">
        <w:rPr>
          <w:i/>
          <w:iCs/>
          <w:highlight w:val="yellow"/>
        </w:rPr>
        <w:t xml:space="preserve">E. </w:t>
      </w:r>
      <w:proofErr w:type="spellStart"/>
      <w:r w:rsidRPr="00CE5754">
        <w:rPr>
          <w:i/>
          <w:iCs/>
          <w:highlight w:val="yellow"/>
        </w:rPr>
        <w:t>hormaechei</w:t>
      </w:r>
      <w:proofErr w:type="spellEnd"/>
      <w:r w:rsidRPr="00CE5754">
        <w:rPr>
          <w:highlight w:val="yellow"/>
        </w:rPr>
        <w:t> bloodstream-infected neonates (mostly preterm) at the NICU of Mohamed VI University Hospital, Marrakesh, Morocco</w:t>
      </w:r>
      <w:r w:rsidRPr="00CE5754">
        <w:t>, in 2018. Most patients presented with respiratory distress as a common clinical sign [</w:t>
      </w:r>
      <w:hyperlink r:id="rId30" w:anchor="B49-children-10-01696" w:history="1">
        <w:r w:rsidRPr="00CE5754">
          <w:rPr>
            <w:rStyle w:val="Hyperlink"/>
            <w:b/>
            <w:bCs/>
          </w:rPr>
          <w:t>49</w:t>
        </w:r>
      </w:hyperlink>
      <w:r w:rsidRPr="00CE5754">
        <w:t>].</w:t>
      </w:r>
    </w:p>
    <w:p w14:paraId="652E96DA" w14:textId="77777777" w:rsidR="00CE5754" w:rsidRDefault="00CE5754" w:rsidP="00CE5754"/>
    <w:p w14:paraId="01364D70" w14:textId="43B2E27D" w:rsidR="00CE5754" w:rsidRPr="00CE5754" w:rsidRDefault="00CE5754" w:rsidP="00CE5754">
      <w:proofErr w:type="spellStart"/>
      <w:r w:rsidRPr="00CE5754">
        <w:t>Girlich</w:t>
      </w:r>
      <w:proofErr w:type="spellEnd"/>
      <w:r w:rsidRPr="00CE5754">
        <w:t xml:space="preserve"> et al. analysed a large incubator-related outbreak in the NICU of </w:t>
      </w:r>
      <w:proofErr w:type="spellStart"/>
      <w:r w:rsidRPr="00CE5754">
        <w:t>Bicêtre</w:t>
      </w:r>
      <w:proofErr w:type="spellEnd"/>
      <w:r w:rsidRPr="00CE5754">
        <w:t xml:space="preserve"> Hospital, </w:t>
      </w:r>
      <w:r w:rsidRPr="00CE5754">
        <w:rPr>
          <w:highlight w:val="yellow"/>
        </w:rPr>
        <w:t>Paris, France, with around 30% of neonates being physiologically colonised with ECC</w:t>
      </w:r>
      <w:r w:rsidRPr="00CE5754">
        <w:t>. Seven neonates had bacteraemia, and 6 of them were lost to fatal sepsis, systematically linked to (hypervirulent) </w:t>
      </w:r>
      <w:r w:rsidRPr="00CE5754">
        <w:rPr>
          <w:i/>
          <w:iCs/>
        </w:rPr>
        <w:t xml:space="preserve">E. </w:t>
      </w:r>
      <w:proofErr w:type="spellStart"/>
      <w:r w:rsidRPr="00CE5754">
        <w:rPr>
          <w:i/>
          <w:iCs/>
        </w:rPr>
        <w:t>bugandensis</w:t>
      </w:r>
      <w:proofErr w:type="spellEnd"/>
      <w:r w:rsidRPr="00CE5754">
        <w:t> [</w:t>
      </w:r>
      <w:hyperlink r:id="rId31" w:anchor="B51-children-10-01696" w:history="1">
        <w:r w:rsidRPr="00CE5754">
          <w:rPr>
            <w:rStyle w:val="Hyperlink"/>
            <w:b/>
            <w:bCs/>
          </w:rPr>
          <w:t>51</w:t>
        </w:r>
      </w:hyperlink>
      <w:r w:rsidRPr="00CE5754">
        <w:t>]. This study highlights the need for the better discrimination of </w:t>
      </w:r>
      <w:r w:rsidRPr="00CE5754">
        <w:rPr>
          <w:i/>
          <w:iCs/>
        </w:rPr>
        <w:t>Enterobacter</w:t>
      </w:r>
      <w:r w:rsidRPr="00CE5754">
        <w:t> species inside the ECC in this fragile population, as neonates colonised or infected with other ECC species had favourable outcomes in this study.</w:t>
      </w:r>
    </w:p>
    <w:p w14:paraId="325F8195" w14:textId="77777777" w:rsidR="00CE5754" w:rsidRDefault="00CE5754"/>
    <w:p w14:paraId="5E5A3744" w14:textId="77777777" w:rsidR="00EA2BD3" w:rsidRDefault="00EA2BD3"/>
    <w:p w14:paraId="18CAFBE2" w14:textId="2E85CC20" w:rsidR="00EA2BD3" w:rsidRDefault="00067138" w:rsidP="00067138">
      <w:hyperlink r:id="rId32" w:tgtFrame="_blank" w:history="1">
        <w:r w:rsidRPr="00067138">
          <w:rPr>
            <w:rStyle w:val="Hyperlink"/>
          </w:rPr>
          <w:t>https://doi.org/10.1017/ice.2023.270</w:t>
        </w:r>
      </w:hyperlink>
      <w:r>
        <w:t xml:space="preserve"> (2024) </w:t>
      </w:r>
    </w:p>
    <w:p w14:paraId="0F0B424C" w14:textId="77777777" w:rsidR="00067138" w:rsidRDefault="00067138" w:rsidP="00067138"/>
    <w:p w14:paraId="348349CF" w14:textId="77777777" w:rsidR="00067138" w:rsidRPr="00067138" w:rsidRDefault="00067138" w:rsidP="00067138">
      <w:r w:rsidRPr="00067138">
        <w:t xml:space="preserve">We studied the extent of </w:t>
      </w:r>
      <w:proofErr w:type="spellStart"/>
      <w:r w:rsidRPr="00067138">
        <w:t>carbapenemase</w:t>
      </w:r>
      <w:proofErr w:type="spellEnd"/>
      <w:r w:rsidRPr="00067138">
        <w:t xml:space="preserve">-producing Enterobacteriaceae (CPE) sink contamination and transmission to patients in a </w:t>
      </w:r>
      <w:proofErr w:type="spellStart"/>
      <w:r w:rsidRPr="00067138">
        <w:t>nonoutbreak</w:t>
      </w:r>
      <w:proofErr w:type="spellEnd"/>
      <w:r w:rsidRPr="00067138">
        <w:t xml:space="preserve"> setting.</w:t>
      </w:r>
    </w:p>
    <w:p w14:paraId="2BB35727" w14:textId="77777777" w:rsidR="00067138" w:rsidRPr="00067138" w:rsidRDefault="00067138" w:rsidP="00067138"/>
    <w:p w14:paraId="65215B46" w14:textId="5E40A2E8" w:rsidR="00067138" w:rsidRDefault="00067138" w:rsidP="00067138">
      <w:r w:rsidRPr="00067138">
        <w:t xml:space="preserve">During 2017–2019, 592 patient-room sinks were sampled in 34 departments. Patient weekly rectal swab CPE surveillance was universally performed. Repeated sink </w:t>
      </w:r>
      <w:r w:rsidRPr="00067138">
        <w:lastRenderedPageBreak/>
        <w:t>sampling was conducted in 9 departments. Isolates from patients and sinks were characterized using pulsed-field gel electrophoresis (PFGE), and pairs of high resemblance were sequenced by Oxford Nanopore and Illumina</w:t>
      </w:r>
    </w:p>
    <w:p w14:paraId="1BC7FEF3" w14:textId="77777777" w:rsidR="00067138" w:rsidRDefault="00067138" w:rsidP="00067138"/>
    <w:p w14:paraId="431D23C5" w14:textId="2E561911" w:rsidR="00067138" w:rsidRDefault="00067138" w:rsidP="00067138">
      <w:r w:rsidRPr="00067138">
        <w:t>In total, 144 (24%) of 592 CPE-contaminated sinks were detected in 25 of 34 departments. Repeated sampling (n = 7,123) revealed that 52%–100% were contaminated at least once during the sampling period. Persistent contamination for &gt;1 year by a dominant strain was common. During the study period, 318 patients acquired CPE. The most common species were </w:t>
      </w:r>
      <w:r w:rsidRPr="00067138">
        <w:rPr>
          <w:i/>
          <w:iCs/>
        </w:rPr>
        <w:t>Klebsiella pneumoniae</w:t>
      </w:r>
      <w:r w:rsidRPr="00067138">
        <w:t>, </w:t>
      </w:r>
      <w:r w:rsidRPr="00067138">
        <w:rPr>
          <w:i/>
          <w:iCs/>
        </w:rPr>
        <w:t>Escherichia coli</w:t>
      </w:r>
      <w:r w:rsidRPr="00067138">
        <w:t>, and </w:t>
      </w:r>
      <w:r w:rsidRPr="00067138">
        <w:rPr>
          <w:i/>
          <w:iCs/>
        </w:rPr>
        <w:t>Enterobacter</w:t>
      </w:r>
      <w:r w:rsidRPr="00067138">
        <w:t> spp. In 127 (40%) patients, a contaminated sink was the suspected source of CPE acquisition. For 20 cases with an identical sink-patient strain, temporal relation suggested sink-to-patient transmission. Hybrid assembly of specific sink-patient isolates revealed that shared plasmids were structurally identical, and SNP differences between shared pairs, along with signatures for potential recombination events, suggests recent sharing of the plasmids.</w:t>
      </w:r>
    </w:p>
    <w:p w14:paraId="12D1167A" w14:textId="77777777" w:rsidR="00067138" w:rsidRDefault="00067138" w:rsidP="00067138"/>
    <w:p w14:paraId="302C5F1B" w14:textId="77777777" w:rsidR="00067138" w:rsidRPr="00067138" w:rsidRDefault="00067138" w:rsidP="00067138">
      <w:r w:rsidRPr="00067138">
        <w:t xml:space="preserve">CPE-contaminated sinks are an important source of transmission to patients. Although </w:t>
      </w:r>
      <w:r w:rsidRPr="00067138">
        <w:rPr>
          <w:highlight w:val="yellow"/>
        </w:rPr>
        <w:t>traditionally person-to-person transmission has been considered the main route of CPE transmission, these data suggest a change in paradigm that may influence strategies of preventing CPE dissemination</w:t>
      </w:r>
      <w:r w:rsidRPr="00067138">
        <w:t>.</w:t>
      </w:r>
    </w:p>
    <w:p w14:paraId="31495D8F" w14:textId="77777777" w:rsidR="00067138" w:rsidRPr="00067138" w:rsidRDefault="00067138" w:rsidP="00067138"/>
    <w:p w14:paraId="1CD7701E" w14:textId="719AE8F5" w:rsidR="00067138" w:rsidRDefault="00067138" w:rsidP="00067138">
      <w:r w:rsidRPr="00067138">
        <w:t xml:space="preserve">Bloodstream infections caused by CPEs carry mortality rate of </w:t>
      </w:r>
      <w:r w:rsidRPr="00067138">
        <w:rPr>
          <w:rFonts w:ascii="Cambria Math" w:hAnsi="Cambria Math" w:cs="Cambria Math"/>
        </w:rPr>
        <w:t>∼</w:t>
      </w:r>
      <w:r w:rsidRPr="00067138">
        <w:t>50%.</w:t>
      </w:r>
    </w:p>
    <w:p w14:paraId="676C2684" w14:textId="77777777" w:rsidR="00AC4C8A" w:rsidRDefault="00AC4C8A" w:rsidP="00067138"/>
    <w:p w14:paraId="341D0DD5" w14:textId="77777777" w:rsidR="00AC4C8A" w:rsidRDefault="00AC4C8A" w:rsidP="00067138"/>
    <w:p w14:paraId="2F13469F" w14:textId="77777777" w:rsidR="00AC4C8A" w:rsidRDefault="00AC4C8A" w:rsidP="00067138"/>
    <w:p w14:paraId="52C9C211" w14:textId="2CD90F08" w:rsidR="00AC4C8A" w:rsidRDefault="00AC4C8A" w:rsidP="00067138">
      <w:hyperlink r:id="rId33" w:history="1">
        <w:r w:rsidRPr="00F1446A">
          <w:rPr>
            <w:rStyle w:val="Hyperlink"/>
          </w:rPr>
          <w:t>https://pmc.ncbi.nlm.nih.gov/articles/PMC10605273</w:t>
        </w:r>
        <w:r w:rsidRPr="00F1446A">
          <w:rPr>
            <w:rStyle w:val="Hyperlink"/>
          </w:rPr>
          <w:t>/</w:t>
        </w:r>
        <w:r w:rsidRPr="00F1446A">
          <w:rPr>
            <w:rStyle w:val="Hyperlink"/>
          </w:rPr>
          <w:t>#sec5-children-10-01696</w:t>
        </w:r>
      </w:hyperlink>
    </w:p>
    <w:p w14:paraId="573AAA17" w14:textId="77777777" w:rsidR="00AC4C8A" w:rsidRDefault="00AC4C8A" w:rsidP="00067138"/>
    <w:p w14:paraId="4FB7BB13" w14:textId="322CE2D0" w:rsidR="00EA16D5" w:rsidRDefault="00EA16D5" w:rsidP="00EA16D5">
      <w:pPr>
        <w:rPr>
          <w:b/>
          <w:bCs/>
        </w:rPr>
      </w:pPr>
      <w:r w:rsidRPr="00EA16D5">
        <w:rPr>
          <w:b/>
          <w:bCs/>
        </w:rPr>
        <w:t>Neonatal Intensive Care Unit Outbreak</w:t>
      </w:r>
      <w:r>
        <w:rPr>
          <w:b/>
          <w:bCs/>
        </w:rPr>
        <w:t xml:space="preserve"> 2023 </w:t>
      </w:r>
      <w:r w:rsidR="0038283C">
        <w:rPr>
          <w:b/>
          <w:bCs/>
        </w:rPr>
        <w:t xml:space="preserve">– Germany </w:t>
      </w:r>
    </w:p>
    <w:p w14:paraId="2609E575" w14:textId="77777777" w:rsidR="0038283C" w:rsidRDefault="0038283C" w:rsidP="00EA16D5">
      <w:pPr>
        <w:rPr>
          <w:b/>
          <w:bCs/>
        </w:rPr>
      </w:pPr>
    </w:p>
    <w:p w14:paraId="7CD07C4B" w14:textId="77777777" w:rsidR="0038283C" w:rsidRDefault="0038283C" w:rsidP="00EA16D5">
      <w:pPr>
        <w:rPr>
          <w:b/>
          <w:bCs/>
        </w:rPr>
      </w:pPr>
    </w:p>
    <w:p w14:paraId="3838C8B0" w14:textId="77777777" w:rsidR="00EA16D5" w:rsidRDefault="00EA16D5" w:rsidP="00EA16D5">
      <w:pPr>
        <w:rPr>
          <w:b/>
          <w:bCs/>
        </w:rPr>
      </w:pPr>
    </w:p>
    <w:p w14:paraId="10A7DD4A" w14:textId="77777777" w:rsidR="00EA16D5" w:rsidRPr="00EA16D5" w:rsidRDefault="00EA16D5" w:rsidP="00EA16D5">
      <w:pPr>
        <w:rPr>
          <w:b/>
          <w:bCs/>
        </w:rPr>
      </w:pPr>
    </w:p>
    <w:p w14:paraId="329DCF9D" w14:textId="2140CBC3" w:rsidR="00AC4C8A" w:rsidRDefault="0038283C" w:rsidP="00067138">
      <w:hyperlink r:id="rId34" w:history="1">
        <w:r w:rsidRPr="00F1446A">
          <w:rPr>
            <w:rStyle w:val="Hyperlink"/>
          </w:rPr>
          <w:t>https://www.sciencedirect.com/science/article/abs/pii/S0924857922001649</w:t>
        </w:r>
      </w:hyperlink>
    </w:p>
    <w:p w14:paraId="0DA2D5C8" w14:textId="77777777" w:rsidR="0038283C" w:rsidRDefault="0038283C" w:rsidP="0038283C">
      <w:r w:rsidRPr="0038283C">
        <w:t xml:space="preserve">MDR </w:t>
      </w:r>
      <w:proofErr w:type="spellStart"/>
      <w:r w:rsidRPr="0038283C">
        <w:t>Enterobacterales</w:t>
      </w:r>
      <w:proofErr w:type="spellEnd"/>
      <w:r w:rsidRPr="0038283C">
        <w:t xml:space="preserve"> are responsible for nosocomial infections worldwide. Phylogenetic analysis and WGS techniques have allowed the identification of </w:t>
      </w:r>
      <w:r w:rsidRPr="0038283C">
        <w:rPr>
          <w:i/>
          <w:iCs/>
        </w:rPr>
        <w:t xml:space="preserve">E. </w:t>
      </w:r>
      <w:proofErr w:type="spellStart"/>
      <w:r w:rsidRPr="0038283C">
        <w:rPr>
          <w:i/>
          <w:iCs/>
        </w:rPr>
        <w:t>hormaechei</w:t>
      </w:r>
      <w:proofErr w:type="spellEnd"/>
      <w:r w:rsidRPr="0038283C">
        <w:t> as important species among MDR ECC. Currently, the capability of identification to species level of ECC in clinical microbiology laboratories is very limited. Moreover, differences in methodologies from different studies may bias the results. The importance of future studies using sequencing-based identification cannot be overstated. </w:t>
      </w:r>
    </w:p>
    <w:p w14:paraId="094ED73D" w14:textId="77777777" w:rsidR="0038283C" w:rsidRDefault="0038283C" w:rsidP="0038283C"/>
    <w:p w14:paraId="1D667FF7" w14:textId="71ABD226" w:rsidR="0038283C" w:rsidRDefault="0038283C" w:rsidP="0038283C">
      <w:r>
        <w:t xml:space="preserve">Also talks about resistance to </w:t>
      </w:r>
      <w:r w:rsidRPr="0038283C">
        <w:t>β-lactams, colistin, tigecycline</w:t>
      </w:r>
    </w:p>
    <w:p w14:paraId="7BF6EFC5" w14:textId="77777777" w:rsidR="0038283C" w:rsidRDefault="0038283C" w:rsidP="0038283C"/>
    <w:p w14:paraId="3DE02D0A" w14:textId="77777777" w:rsidR="0038283C" w:rsidRDefault="0038283C" w:rsidP="0038283C"/>
    <w:p w14:paraId="3AB632E5" w14:textId="1EFB68D2" w:rsidR="0038283C" w:rsidRDefault="008F3C8C" w:rsidP="0038283C">
      <w:hyperlink r:id="rId35" w:history="1">
        <w:r w:rsidRPr="00F1446A">
          <w:rPr>
            <w:rStyle w:val="Hyperlink"/>
          </w:rPr>
          <w:t>https://www.md</w:t>
        </w:r>
        <w:r w:rsidRPr="00F1446A">
          <w:rPr>
            <w:rStyle w:val="Hyperlink"/>
          </w:rPr>
          <w:t>p</w:t>
        </w:r>
        <w:r w:rsidRPr="00F1446A">
          <w:rPr>
            <w:rStyle w:val="Hyperlink"/>
          </w:rPr>
          <w:t>i.com/1660-4601/19/15/9401</w:t>
        </w:r>
      </w:hyperlink>
      <w:r w:rsidR="00B421C2">
        <w:t xml:space="preserve"> 2022</w:t>
      </w:r>
    </w:p>
    <w:p w14:paraId="0D0FD419" w14:textId="77777777" w:rsidR="008F3C8C" w:rsidRDefault="008F3C8C" w:rsidP="0038283C"/>
    <w:p w14:paraId="256FFDB9" w14:textId="4A85871C" w:rsidR="008F3C8C" w:rsidRDefault="008F3C8C" w:rsidP="0038283C">
      <w:r w:rsidRPr="008F3C8C">
        <w:lastRenderedPageBreak/>
        <w:t>Contaminated surfaces play an important role in the nosocomial infection of patients in intensive care units (ICUs). This study, conducted in two ICUs at Edouard Herriot Hospital (Lyon, France), aimed to describe rooms’ microbial ecology and explore the potential link between environmental contamination and patients’ colonization and/or infection</w:t>
      </w:r>
    </w:p>
    <w:p w14:paraId="7709099B" w14:textId="77777777" w:rsidR="008F3C8C" w:rsidRDefault="008F3C8C" w:rsidP="0038283C"/>
    <w:p w14:paraId="31A26AC1" w14:textId="750B5640" w:rsidR="008F3C8C" w:rsidRDefault="008F3C8C" w:rsidP="0038283C">
      <w:r w:rsidRPr="008F3C8C">
        <w:rPr>
          <w:b/>
          <w:bCs/>
        </w:rPr>
        <w:t>Results:</w:t>
      </w:r>
      <w:r w:rsidRPr="008F3C8C">
        <w:t> Overall, 137 samples were collected: 90.7% of the samples close to patients, and 87.9% of the distant ones were positives. Overall, 223 bacteria were isolated, mainly: </w:t>
      </w:r>
      <w:r w:rsidRPr="008F3C8C">
        <w:rPr>
          <w:i/>
          <w:iCs/>
        </w:rPr>
        <w:t>Enterococcus faecalis</w:t>
      </w:r>
      <w:r w:rsidRPr="008F3C8C">
        <w:t> (15.7%), </w:t>
      </w:r>
      <w:proofErr w:type="spellStart"/>
      <w:r w:rsidRPr="008F3C8C">
        <w:rPr>
          <w:i/>
          <w:iCs/>
        </w:rPr>
        <w:t>Pantoea</w:t>
      </w:r>
      <w:proofErr w:type="spellEnd"/>
      <w:r w:rsidRPr="008F3C8C">
        <w:rPr>
          <w:i/>
          <w:iCs/>
        </w:rPr>
        <w:t xml:space="preserve"> </w:t>
      </w:r>
      <w:proofErr w:type="spellStart"/>
      <w:r w:rsidRPr="008F3C8C">
        <w:rPr>
          <w:i/>
          <w:iCs/>
        </w:rPr>
        <w:t>agglomerans</w:t>
      </w:r>
      <w:proofErr w:type="spellEnd"/>
      <w:r w:rsidRPr="008F3C8C">
        <w:t> (8.1%), </w:t>
      </w:r>
      <w:r w:rsidRPr="008F3C8C">
        <w:rPr>
          <w:i/>
          <w:iCs/>
        </w:rPr>
        <w:t>Enterobacter cloacae/</w:t>
      </w:r>
      <w:proofErr w:type="spellStart"/>
      <w:r w:rsidRPr="008F3C8C">
        <w:rPr>
          <w:i/>
          <w:iCs/>
        </w:rPr>
        <w:t>asburiae</w:t>
      </w:r>
      <w:proofErr w:type="spellEnd"/>
      <w:r w:rsidRPr="008F3C8C">
        <w:t> (6.3%), </w:t>
      </w:r>
      <w:r w:rsidRPr="008F3C8C">
        <w:rPr>
          <w:i/>
          <w:iCs/>
        </w:rPr>
        <w:t>Bacillus cereus</w:t>
      </w:r>
      <w:r w:rsidRPr="008F3C8C">
        <w:t> and other </w:t>
      </w:r>
      <w:r w:rsidRPr="008F3C8C">
        <w:rPr>
          <w:i/>
          <w:iCs/>
        </w:rPr>
        <w:t>Bacillus</w:t>
      </w:r>
      <w:r w:rsidRPr="008F3C8C">
        <w:t> </w:t>
      </w:r>
      <w:proofErr w:type="spellStart"/>
      <w:r w:rsidRPr="008F3C8C">
        <w:t>spp</w:t>
      </w:r>
      <w:proofErr w:type="spellEnd"/>
      <w:r w:rsidRPr="008F3C8C">
        <w:t xml:space="preserve"> (6.3%), </w:t>
      </w:r>
      <w:r w:rsidRPr="008F3C8C">
        <w:rPr>
          <w:i/>
          <w:iCs/>
        </w:rPr>
        <w:t>Enterococcus</w:t>
      </w:r>
      <w:r w:rsidRPr="008F3C8C">
        <w:t> </w:t>
      </w:r>
      <w:r w:rsidRPr="008F3C8C">
        <w:rPr>
          <w:i/>
          <w:iCs/>
        </w:rPr>
        <w:t>faecium</w:t>
      </w:r>
      <w:r w:rsidRPr="008F3C8C">
        <w:t> (5.8%), </w:t>
      </w:r>
      <w:r w:rsidRPr="008F3C8C">
        <w:rPr>
          <w:i/>
          <w:iCs/>
        </w:rPr>
        <w:t xml:space="preserve">Stenotrophomonas </w:t>
      </w:r>
      <w:proofErr w:type="spellStart"/>
      <w:r w:rsidRPr="008F3C8C">
        <w:rPr>
          <w:i/>
          <w:iCs/>
        </w:rPr>
        <w:t>maltophilia</w:t>
      </w:r>
      <w:proofErr w:type="spellEnd"/>
      <w:r w:rsidRPr="008F3C8C">
        <w:t> (5.4%), and </w:t>
      </w:r>
      <w:r w:rsidRPr="008F3C8C">
        <w:rPr>
          <w:i/>
          <w:iCs/>
        </w:rPr>
        <w:t>Acinetobacter baumannii</w:t>
      </w:r>
      <w:r w:rsidRPr="008F3C8C">
        <w:t> (4.9%). Throughout the study, 142 patients were included, of which, </w:t>
      </w:r>
      <w:r w:rsidRPr="008F3C8C">
        <w:rPr>
          <w:i/>
          <w:iCs/>
        </w:rPr>
        <w:t>n</w:t>
      </w:r>
      <w:r w:rsidRPr="008F3C8C">
        <w:t> = 67 (47.2%) were infected or colonized by at least one bacterium. In fourteen cases, the same bacterial species were found both in environment and patient samples, with the suspicion of a cross-contamination between the patient–environment (</w:t>
      </w:r>
      <w:r w:rsidRPr="008F3C8C">
        <w:rPr>
          <w:i/>
          <w:iCs/>
        </w:rPr>
        <w:t>n</w:t>
      </w:r>
      <w:r w:rsidRPr="008F3C8C">
        <w:t> = 10) and environment–patient (</w:t>
      </w:r>
      <w:r w:rsidRPr="008F3C8C">
        <w:rPr>
          <w:i/>
          <w:iCs/>
        </w:rPr>
        <w:t>n</w:t>
      </w:r>
      <w:r w:rsidRPr="008F3C8C">
        <w:t> = 4). </w:t>
      </w:r>
      <w:r w:rsidRPr="008F3C8C">
        <w:rPr>
          <w:b/>
          <w:bCs/>
        </w:rPr>
        <w:t>Conclusions:</w:t>
      </w:r>
      <w:r w:rsidRPr="008F3C8C">
        <w:t> In this work, we found a high level of bacterial contamination on ICU rooms’ surfaces and described several cases of potential cross-contamination between environment and patients in real-world conditions.</w:t>
      </w:r>
    </w:p>
    <w:p w14:paraId="75F92481" w14:textId="77777777" w:rsidR="008F3C8C" w:rsidRDefault="008F3C8C" w:rsidP="0038283C"/>
    <w:p w14:paraId="2CDD1719" w14:textId="537BEFEF" w:rsidR="008F3C8C" w:rsidRPr="0038283C" w:rsidRDefault="00B421C2" w:rsidP="0038283C">
      <w:hyperlink r:id="rId36" w:history="1">
        <w:r w:rsidRPr="00F1446A">
          <w:rPr>
            <w:rStyle w:val="Hyperlink"/>
          </w:rPr>
          <w:t>https://www.mdpi.com/2227-9067/10/10/1696</w:t>
        </w:r>
      </w:hyperlink>
      <w:r>
        <w:t xml:space="preserve"> (2023)</w:t>
      </w:r>
    </w:p>
    <w:p w14:paraId="3AF000D8" w14:textId="77777777" w:rsidR="0038283C" w:rsidRPr="0038283C" w:rsidRDefault="0038283C" w:rsidP="0038283C"/>
    <w:p w14:paraId="05092BE0" w14:textId="77777777" w:rsidR="00B421C2" w:rsidRPr="00B421C2" w:rsidRDefault="00B421C2" w:rsidP="00B421C2">
      <w:pPr>
        <w:rPr>
          <w:b/>
          <w:bCs/>
        </w:rPr>
      </w:pPr>
      <w:r w:rsidRPr="00B421C2">
        <w:rPr>
          <w:b/>
          <w:bCs/>
        </w:rPr>
        <w:t xml:space="preserve">Next-Generation Sequencing to Enterobacter </w:t>
      </w:r>
      <w:proofErr w:type="spellStart"/>
      <w:r w:rsidRPr="00B421C2">
        <w:rPr>
          <w:b/>
          <w:bCs/>
        </w:rPr>
        <w:t>Hormaechei</w:t>
      </w:r>
      <w:proofErr w:type="spellEnd"/>
      <w:r w:rsidRPr="00B421C2">
        <w:rPr>
          <w:b/>
          <w:bCs/>
        </w:rPr>
        <w:t xml:space="preserve"> Subspecies Analysis during a Neonatal Intensive Care Unit Outbreak</w:t>
      </w:r>
    </w:p>
    <w:p w14:paraId="241BAD96" w14:textId="77777777" w:rsidR="0038283C" w:rsidRDefault="0038283C" w:rsidP="00067138"/>
    <w:sectPr w:rsidR="003828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9E4"/>
    <w:rsid w:val="00067138"/>
    <w:rsid w:val="000D405F"/>
    <w:rsid w:val="001D56E6"/>
    <w:rsid w:val="00341A8A"/>
    <w:rsid w:val="00376617"/>
    <w:rsid w:val="0038283C"/>
    <w:rsid w:val="00386C8F"/>
    <w:rsid w:val="003D4485"/>
    <w:rsid w:val="0045766A"/>
    <w:rsid w:val="007801B1"/>
    <w:rsid w:val="007B3A87"/>
    <w:rsid w:val="008041B3"/>
    <w:rsid w:val="008F3C8C"/>
    <w:rsid w:val="00AC4C8A"/>
    <w:rsid w:val="00B421C2"/>
    <w:rsid w:val="00C10029"/>
    <w:rsid w:val="00CE5754"/>
    <w:rsid w:val="00D61904"/>
    <w:rsid w:val="00E719E4"/>
    <w:rsid w:val="00EA16D5"/>
    <w:rsid w:val="00EA2B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228579F"/>
  <w15:chartTrackingRefBased/>
  <w15:docId w15:val="{2BD1EC2C-EACF-A746-8D68-71FE127A3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1C2"/>
  </w:style>
  <w:style w:type="paragraph" w:styleId="Heading1">
    <w:name w:val="heading 1"/>
    <w:basedOn w:val="Normal"/>
    <w:next w:val="Normal"/>
    <w:link w:val="Heading1Char"/>
    <w:uiPriority w:val="9"/>
    <w:qFormat/>
    <w:rsid w:val="00E719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9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9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9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9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9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9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9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9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9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9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9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9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9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9E4"/>
    <w:rPr>
      <w:rFonts w:eastAsiaTheme="majorEastAsia" w:cstheme="majorBidi"/>
      <w:color w:val="272727" w:themeColor="text1" w:themeTint="D8"/>
    </w:rPr>
  </w:style>
  <w:style w:type="paragraph" w:styleId="Title">
    <w:name w:val="Title"/>
    <w:basedOn w:val="Normal"/>
    <w:next w:val="Normal"/>
    <w:link w:val="TitleChar"/>
    <w:uiPriority w:val="10"/>
    <w:qFormat/>
    <w:rsid w:val="00E719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9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9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19E4"/>
    <w:rPr>
      <w:i/>
      <w:iCs/>
      <w:color w:val="404040" w:themeColor="text1" w:themeTint="BF"/>
    </w:rPr>
  </w:style>
  <w:style w:type="paragraph" w:styleId="ListParagraph">
    <w:name w:val="List Paragraph"/>
    <w:basedOn w:val="Normal"/>
    <w:uiPriority w:val="34"/>
    <w:qFormat/>
    <w:rsid w:val="00E719E4"/>
    <w:pPr>
      <w:ind w:left="720"/>
      <w:contextualSpacing/>
    </w:pPr>
  </w:style>
  <w:style w:type="character" w:styleId="IntenseEmphasis">
    <w:name w:val="Intense Emphasis"/>
    <w:basedOn w:val="DefaultParagraphFont"/>
    <w:uiPriority w:val="21"/>
    <w:qFormat/>
    <w:rsid w:val="00E719E4"/>
    <w:rPr>
      <w:i/>
      <w:iCs/>
      <w:color w:val="0F4761" w:themeColor="accent1" w:themeShade="BF"/>
    </w:rPr>
  </w:style>
  <w:style w:type="paragraph" w:styleId="IntenseQuote">
    <w:name w:val="Intense Quote"/>
    <w:basedOn w:val="Normal"/>
    <w:next w:val="Normal"/>
    <w:link w:val="IntenseQuoteChar"/>
    <w:uiPriority w:val="30"/>
    <w:qFormat/>
    <w:rsid w:val="00E71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9E4"/>
    <w:rPr>
      <w:i/>
      <w:iCs/>
      <w:color w:val="0F4761" w:themeColor="accent1" w:themeShade="BF"/>
    </w:rPr>
  </w:style>
  <w:style w:type="character" w:styleId="IntenseReference">
    <w:name w:val="Intense Reference"/>
    <w:basedOn w:val="DefaultParagraphFont"/>
    <w:uiPriority w:val="32"/>
    <w:qFormat/>
    <w:rsid w:val="00E719E4"/>
    <w:rPr>
      <w:b/>
      <w:bCs/>
      <w:smallCaps/>
      <w:color w:val="0F4761" w:themeColor="accent1" w:themeShade="BF"/>
      <w:spacing w:val="5"/>
    </w:rPr>
  </w:style>
  <w:style w:type="character" w:styleId="Hyperlink">
    <w:name w:val="Hyperlink"/>
    <w:basedOn w:val="DefaultParagraphFont"/>
    <w:uiPriority w:val="99"/>
    <w:unhideWhenUsed/>
    <w:rsid w:val="003D4485"/>
    <w:rPr>
      <w:color w:val="467886" w:themeColor="hyperlink"/>
      <w:u w:val="single"/>
    </w:rPr>
  </w:style>
  <w:style w:type="character" w:styleId="UnresolvedMention">
    <w:name w:val="Unresolved Mention"/>
    <w:basedOn w:val="DefaultParagraphFont"/>
    <w:uiPriority w:val="99"/>
    <w:semiHidden/>
    <w:unhideWhenUsed/>
    <w:rsid w:val="003D4485"/>
    <w:rPr>
      <w:color w:val="605E5C"/>
      <w:shd w:val="clear" w:color="auto" w:fill="E1DFDD"/>
    </w:rPr>
  </w:style>
  <w:style w:type="character" w:styleId="FollowedHyperlink">
    <w:name w:val="FollowedHyperlink"/>
    <w:basedOn w:val="DefaultParagraphFont"/>
    <w:uiPriority w:val="99"/>
    <w:semiHidden/>
    <w:unhideWhenUsed/>
    <w:rsid w:val="003828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102389">
      <w:bodyDiv w:val="1"/>
      <w:marLeft w:val="0"/>
      <w:marRight w:val="0"/>
      <w:marTop w:val="0"/>
      <w:marBottom w:val="0"/>
      <w:divBdr>
        <w:top w:val="none" w:sz="0" w:space="0" w:color="auto"/>
        <w:left w:val="none" w:sz="0" w:space="0" w:color="auto"/>
        <w:bottom w:val="none" w:sz="0" w:space="0" w:color="auto"/>
        <w:right w:val="none" w:sz="0" w:space="0" w:color="auto"/>
      </w:divBdr>
    </w:div>
    <w:div w:id="214048720">
      <w:bodyDiv w:val="1"/>
      <w:marLeft w:val="0"/>
      <w:marRight w:val="0"/>
      <w:marTop w:val="0"/>
      <w:marBottom w:val="0"/>
      <w:divBdr>
        <w:top w:val="none" w:sz="0" w:space="0" w:color="auto"/>
        <w:left w:val="none" w:sz="0" w:space="0" w:color="auto"/>
        <w:bottom w:val="none" w:sz="0" w:space="0" w:color="auto"/>
        <w:right w:val="none" w:sz="0" w:space="0" w:color="auto"/>
      </w:divBdr>
      <w:divsChild>
        <w:div w:id="24335806">
          <w:marLeft w:val="0"/>
          <w:marRight w:val="0"/>
          <w:marTop w:val="0"/>
          <w:marBottom w:val="0"/>
          <w:divBdr>
            <w:top w:val="none" w:sz="0" w:space="0" w:color="auto"/>
            <w:left w:val="none" w:sz="0" w:space="0" w:color="auto"/>
            <w:bottom w:val="none" w:sz="0" w:space="0" w:color="auto"/>
            <w:right w:val="none" w:sz="0" w:space="0" w:color="auto"/>
          </w:divBdr>
          <w:divsChild>
            <w:div w:id="761923775">
              <w:marLeft w:val="0"/>
              <w:marRight w:val="0"/>
              <w:marTop w:val="0"/>
              <w:marBottom w:val="0"/>
              <w:divBdr>
                <w:top w:val="none" w:sz="0" w:space="0" w:color="auto"/>
                <w:left w:val="none" w:sz="0" w:space="0" w:color="auto"/>
                <w:bottom w:val="none" w:sz="0" w:space="0" w:color="auto"/>
                <w:right w:val="none" w:sz="0" w:space="0" w:color="auto"/>
              </w:divBdr>
              <w:divsChild>
                <w:div w:id="136775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015753">
      <w:bodyDiv w:val="1"/>
      <w:marLeft w:val="0"/>
      <w:marRight w:val="0"/>
      <w:marTop w:val="0"/>
      <w:marBottom w:val="0"/>
      <w:divBdr>
        <w:top w:val="none" w:sz="0" w:space="0" w:color="auto"/>
        <w:left w:val="none" w:sz="0" w:space="0" w:color="auto"/>
        <w:bottom w:val="none" w:sz="0" w:space="0" w:color="auto"/>
        <w:right w:val="none" w:sz="0" w:space="0" w:color="auto"/>
      </w:divBdr>
      <w:divsChild>
        <w:div w:id="1568952656">
          <w:marLeft w:val="0"/>
          <w:marRight w:val="0"/>
          <w:marTop w:val="0"/>
          <w:marBottom w:val="240"/>
          <w:divBdr>
            <w:top w:val="none" w:sz="0" w:space="0" w:color="auto"/>
            <w:left w:val="none" w:sz="0" w:space="0" w:color="auto"/>
            <w:bottom w:val="none" w:sz="0" w:space="0" w:color="auto"/>
            <w:right w:val="none" w:sz="0" w:space="0" w:color="auto"/>
          </w:divBdr>
        </w:div>
      </w:divsChild>
    </w:div>
    <w:div w:id="223369548">
      <w:bodyDiv w:val="1"/>
      <w:marLeft w:val="0"/>
      <w:marRight w:val="0"/>
      <w:marTop w:val="0"/>
      <w:marBottom w:val="0"/>
      <w:divBdr>
        <w:top w:val="none" w:sz="0" w:space="0" w:color="auto"/>
        <w:left w:val="none" w:sz="0" w:space="0" w:color="auto"/>
        <w:bottom w:val="none" w:sz="0" w:space="0" w:color="auto"/>
        <w:right w:val="none" w:sz="0" w:space="0" w:color="auto"/>
      </w:divBdr>
    </w:div>
    <w:div w:id="760640884">
      <w:bodyDiv w:val="1"/>
      <w:marLeft w:val="0"/>
      <w:marRight w:val="0"/>
      <w:marTop w:val="0"/>
      <w:marBottom w:val="0"/>
      <w:divBdr>
        <w:top w:val="none" w:sz="0" w:space="0" w:color="auto"/>
        <w:left w:val="none" w:sz="0" w:space="0" w:color="auto"/>
        <w:bottom w:val="none" w:sz="0" w:space="0" w:color="auto"/>
        <w:right w:val="none" w:sz="0" w:space="0" w:color="auto"/>
      </w:divBdr>
      <w:divsChild>
        <w:div w:id="983966837">
          <w:marLeft w:val="0"/>
          <w:marRight w:val="0"/>
          <w:marTop w:val="0"/>
          <w:marBottom w:val="0"/>
          <w:divBdr>
            <w:top w:val="none" w:sz="0" w:space="0" w:color="auto"/>
            <w:left w:val="none" w:sz="0" w:space="0" w:color="auto"/>
            <w:bottom w:val="none" w:sz="0" w:space="0" w:color="auto"/>
            <w:right w:val="none" w:sz="0" w:space="0" w:color="auto"/>
          </w:divBdr>
          <w:divsChild>
            <w:div w:id="1001616197">
              <w:marLeft w:val="0"/>
              <w:marRight w:val="0"/>
              <w:marTop w:val="0"/>
              <w:marBottom w:val="0"/>
              <w:divBdr>
                <w:top w:val="none" w:sz="0" w:space="0" w:color="auto"/>
                <w:left w:val="none" w:sz="0" w:space="0" w:color="auto"/>
                <w:bottom w:val="none" w:sz="0" w:space="0" w:color="auto"/>
                <w:right w:val="none" w:sz="0" w:space="0" w:color="auto"/>
              </w:divBdr>
              <w:divsChild>
                <w:div w:id="78867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211857">
      <w:bodyDiv w:val="1"/>
      <w:marLeft w:val="0"/>
      <w:marRight w:val="0"/>
      <w:marTop w:val="0"/>
      <w:marBottom w:val="0"/>
      <w:divBdr>
        <w:top w:val="none" w:sz="0" w:space="0" w:color="auto"/>
        <w:left w:val="none" w:sz="0" w:space="0" w:color="auto"/>
        <w:bottom w:val="none" w:sz="0" w:space="0" w:color="auto"/>
        <w:right w:val="none" w:sz="0" w:space="0" w:color="auto"/>
      </w:divBdr>
    </w:div>
    <w:div w:id="1009217485">
      <w:bodyDiv w:val="1"/>
      <w:marLeft w:val="0"/>
      <w:marRight w:val="0"/>
      <w:marTop w:val="0"/>
      <w:marBottom w:val="0"/>
      <w:divBdr>
        <w:top w:val="none" w:sz="0" w:space="0" w:color="auto"/>
        <w:left w:val="none" w:sz="0" w:space="0" w:color="auto"/>
        <w:bottom w:val="none" w:sz="0" w:space="0" w:color="auto"/>
        <w:right w:val="none" w:sz="0" w:space="0" w:color="auto"/>
      </w:divBdr>
      <w:divsChild>
        <w:div w:id="523833336">
          <w:marLeft w:val="0"/>
          <w:marRight w:val="0"/>
          <w:marTop w:val="0"/>
          <w:marBottom w:val="240"/>
          <w:divBdr>
            <w:top w:val="none" w:sz="0" w:space="0" w:color="auto"/>
            <w:left w:val="none" w:sz="0" w:space="0" w:color="auto"/>
            <w:bottom w:val="none" w:sz="0" w:space="0" w:color="auto"/>
            <w:right w:val="none" w:sz="0" w:space="0" w:color="auto"/>
          </w:divBdr>
        </w:div>
      </w:divsChild>
    </w:div>
    <w:div w:id="1190219452">
      <w:bodyDiv w:val="1"/>
      <w:marLeft w:val="0"/>
      <w:marRight w:val="0"/>
      <w:marTop w:val="0"/>
      <w:marBottom w:val="0"/>
      <w:divBdr>
        <w:top w:val="none" w:sz="0" w:space="0" w:color="auto"/>
        <w:left w:val="none" w:sz="0" w:space="0" w:color="auto"/>
        <w:bottom w:val="none" w:sz="0" w:space="0" w:color="auto"/>
        <w:right w:val="none" w:sz="0" w:space="0" w:color="auto"/>
      </w:divBdr>
    </w:div>
    <w:div w:id="1246458913">
      <w:bodyDiv w:val="1"/>
      <w:marLeft w:val="0"/>
      <w:marRight w:val="0"/>
      <w:marTop w:val="0"/>
      <w:marBottom w:val="0"/>
      <w:divBdr>
        <w:top w:val="none" w:sz="0" w:space="0" w:color="auto"/>
        <w:left w:val="none" w:sz="0" w:space="0" w:color="auto"/>
        <w:bottom w:val="none" w:sz="0" w:space="0" w:color="auto"/>
        <w:right w:val="none" w:sz="0" w:space="0" w:color="auto"/>
      </w:divBdr>
      <w:divsChild>
        <w:div w:id="1086535429">
          <w:marLeft w:val="0"/>
          <w:marRight w:val="0"/>
          <w:marTop w:val="0"/>
          <w:marBottom w:val="0"/>
          <w:divBdr>
            <w:top w:val="none" w:sz="0" w:space="0" w:color="auto"/>
            <w:left w:val="none" w:sz="0" w:space="0" w:color="auto"/>
            <w:bottom w:val="none" w:sz="0" w:space="0" w:color="auto"/>
            <w:right w:val="none" w:sz="0" w:space="0" w:color="auto"/>
          </w:divBdr>
        </w:div>
      </w:divsChild>
    </w:div>
    <w:div w:id="1424834826">
      <w:bodyDiv w:val="1"/>
      <w:marLeft w:val="0"/>
      <w:marRight w:val="0"/>
      <w:marTop w:val="0"/>
      <w:marBottom w:val="0"/>
      <w:divBdr>
        <w:top w:val="none" w:sz="0" w:space="0" w:color="auto"/>
        <w:left w:val="none" w:sz="0" w:space="0" w:color="auto"/>
        <w:bottom w:val="none" w:sz="0" w:space="0" w:color="auto"/>
        <w:right w:val="none" w:sz="0" w:space="0" w:color="auto"/>
      </w:divBdr>
    </w:div>
    <w:div w:id="1436360372">
      <w:bodyDiv w:val="1"/>
      <w:marLeft w:val="0"/>
      <w:marRight w:val="0"/>
      <w:marTop w:val="0"/>
      <w:marBottom w:val="0"/>
      <w:divBdr>
        <w:top w:val="none" w:sz="0" w:space="0" w:color="auto"/>
        <w:left w:val="none" w:sz="0" w:space="0" w:color="auto"/>
        <w:bottom w:val="none" w:sz="0" w:space="0" w:color="auto"/>
        <w:right w:val="none" w:sz="0" w:space="0" w:color="auto"/>
      </w:divBdr>
    </w:div>
    <w:div w:id="1447845656">
      <w:bodyDiv w:val="1"/>
      <w:marLeft w:val="0"/>
      <w:marRight w:val="0"/>
      <w:marTop w:val="0"/>
      <w:marBottom w:val="0"/>
      <w:divBdr>
        <w:top w:val="none" w:sz="0" w:space="0" w:color="auto"/>
        <w:left w:val="none" w:sz="0" w:space="0" w:color="auto"/>
        <w:bottom w:val="none" w:sz="0" w:space="0" w:color="auto"/>
        <w:right w:val="none" w:sz="0" w:space="0" w:color="auto"/>
      </w:divBdr>
      <w:divsChild>
        <w:div w:id="280066516">
          <w:marLeft w:val="0"/>
          <w:marRight w:val="0"/>
          <w:marTop w:val="0"/>
          <w:marBottom w:val="0"/>
          <w:divBdr>
            <w:top w:val="none" w:sz="0" w:space="0" w:color="auto"/>
            <w:left w:val="none" w:sz="0" w:space="0" w:color="auto"/>
            <w:bottom w:val="none" w:sz="0" w:space="0" w:color="auto"/>
            <w:right w:val="none" w:sz="0" w:space="0" w:color="auto"/>
          </w:divBdr>
        </w:div>
      </w:divsChild>
    </w:div>
    <w:div w:id="1535388218">
      <w:bodyDiv w:val="1"/>
      <w:marLeft w:val="0"/>
      <w:marRight w:val="0"/>
      <w:marTop w:val="0"/>
      <w:marBottom w:val="0"/>
      <w:divBdr>
        <w:top w:val="none" w:sz="0" w:space="0" w:color="auto"/>
        <w:left w:val="none" w:sz="0" w:space="0" w:color="auto"/>
        <w:bottom w:val="none" w:sz="0" w:space="0" w:color="auto"/>
        <w:right w:val="none" w:sz="0" w:space="0" w:color="auto"/>
      </w:divBdr>
    </w:div>
    <w:div w:id="1606185012">
      <w:bodyDiv w:val="1"/>
      <w:marLeft w:val="0"/>
      <w:marRight w:val="0"/>
      <w:marTop w:val="0"/>
      <w:marBottom w:val="0"/>
      <w:divBdr>
        <w:top w:val="none" w:sz="0" w:space="0" w:color="auto"/>
        <w:left w:val="none" w:sz="0" w:space="0" w:color="auto"/>
        <w:bottom w:val="none" w:sz="0" w:space="0" w:color="auto"/>
        <w:right w:val="none" w:sz="0" w:space="0" w:color="auto"/>
      </w:divBdr>
    </w:div>
    <w:div w:id="1818379539">
      <w:bodyDiv w:val="1"/>
      <w:marLeft w:val="0"/>
      <w:marRight w:val="0"/>
      <w:marTop w:val="0"/>
      <w:marBottom w:val="0"/>
      <w:divBdr>
        <w:top w:val="none" w:sz="0" w:space="0" w:color="auto"/>
        <w:left w:val="none" w:sz="0" w:space="0" w:color="auto"/>
        <w:bottom w:val="none" w:sz="0" w:space="0" w:color="auto"/>
        <w:right w:val="none" w:sz="0" w:space="0" w:color="auto"/>
      </w:divBdr>
    </w:div>
    <w:div w:id="211216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dpi.com/2079-6382/13/7/592" TargetMode="External"/><Relationship Id="rId18" Type="http://schemas.openxmlformats.org/officeDocument/2006/relationships/hyperlink" Target="https://www.mdpi.com/2079-6382/13/7/592" TargetMode="External"/><Relationship Id="rId26" Type="http://schemas.openxmlformats.org/officeDocument/2006/relationships/hyperlink" Target="https://www.mdpi.com/2079-6382/13/7/592" TargetMode="External"/><Relationship Id="rId21" Type="http://schemas.openxmlformats.org/officeDocument/2006/relationships/hyperlink" Target="https://www.mdpi.com/2079-6382/13/7/592" TargetMode="External"/><Relationship Id="rId34" Type="http://schemas.openxmlformats.org/officeDocument/2006/relationships/hyperlink" Target="https://www.sciencedirect.com/science/article/abs/pii/S0924857922001649" TargetMode="External"/><Relationship Id="rId7" Type="http://schemas.openxmlformats.org/officeDocument/2006/relationships/hyperlink" Target="https://www.mdpi.com/2079-6382/13/7/592" TargetMode="External"/><Relationship Id="rId12" Type="http://schemas.openxmlformats.org/officeDocument/2006/relationships/hyperlink" Target="https://www.mdpi.com/2079-6382/13/7/592" TargetMode="External"/><Relationship Id="rId17" Type="http://schemas.openxmlformats.org/officeDocument/2006/relationships/hyperlink" Target="https://www.mdpi.com/2079-6382/13/7/592" TargetMode="External"/><Relationship Id="rId25" Type="http://schemas.openxmlformats.org/officeDocument/2006/relationships/hyperlink" Target="https://www.mdpi.com/2079-6382/13/7/592" TargetMode="External"/><Relationship Id="rId33" Type="http://schemas.openxmlformats.org/officeDocument/2006/relationships/hyperlink" Target="https://pmc.ncbi.nlm.nih.gov/articles/PMC10605273/#sec5-children-10-01696" TargetMode="External"/><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mdpi.com/2079-6382/13/7/592" TargetMode="External"/><Relationship Id="rId20" Type="http://schemas.openxmlformats.org/officeDocument/2006/relationships/hyperlink" Target="https://www.mdpi.com/2079-6382/13/7/592" TargetMode="External"/><Relationship Id="rId29" Type="http://schemas.openxmlformats.org/officeDocument/2006/relationships/hyperlink" Target="https://www.mdpi.com/2227-9067/10/10/1696" TargetMode="External"/><Relationship Id="rId1" Type="http://schemas.openxmlformats.org/officeDocument/2006/relationships/styles" Target="styles.xml"/><Relationship Id="rId6" Type="http://schemas.openxmlformats.org/officeDocument/2006/relationships/hyperlink" Target="https://www.mdpi.com/2079-6382/13/7/592" TargetMode="External"/><Relationship Id="rId11" Type="http://schemas.openxmlformats.org/officeDocument/2006/relationships/hyperlink" Target="https://www.mdpi.com/2079-6382/13/7/592" TargetMode="External"/><Relationship Id="rId24" Type="http://schemas.openxmlformats.org/officeDocument/2006/relationships/hyperlink" Target="https://www.mdpi.com/2079-6382/13/7/592" TargetMode="External"/><Relationship Id="rId32" Type="http://schemas.openxmlformats.org/officeDocument/2006/relationships/hyperlink" Target="https://doi.org/10.1017/ice.2023.270" TargetMode="External"/><Relationship Id="rId37" Type="http://schemas.openxmlformats.org/officeDocument/2006/relationships/fontTable" Target="fontTable.xml"/><Relationship Id="rId5" Type="http://schemas.openxmlformats.org/officeDocument/2006/relationships/hyperlink" Target="https://www.mdpi.com/2079-6382/13/7/592" TargetMode="External"/><Relationship Id="rId15" Type="http://schemas.openxmlformats.org/officeDocument/2006/relationships/hyperlink" Target="https://www.mdpi.com/2079-6382/13/7/592" TargetMode="External"/><Relationship Id="rId23" Type="http://schemas.openxmlformats.org/officeDocument/2006/relationships/hyperlink" Target="https://www.mdpi.com/2079-6382/13/7/592" TargetMode="External"/><Relationship Id="rId28" Type="http://schemas.openxmlformats.org/officeDocument/2006/relationships/hyperlink" Target="https://www.mdpi.com/2227-9067/10/10/1696" TargetMode="External"/><Relationship Id="rId36" Type="http://schemas.openxmlformats.org/officeDocument/2006/relationships/hyperlink" Target="https://www.mdpi.com/2227-9067/10/10/1696" TargetMode="External"/><Relationship Id="rId10" Type="http://schemas.openxmlformats.org/officeDocument/2006/relationships/hyperlink" Target="https://www.mdpi.com/2079-6382/13/7/592" TargetMode="External"/><Relationship Id="rId19" Type="http://schemas.openxmlformats.org/officeDocument/2006/relationships/hyperlink" Target="https://www.mdpi.com/2079-6382/13/7/592" TargetMode="External"/><Relationship Id="rId31" Type="http://schemas.openxmlformats.org/officeDocument/2006/relationships/hyperlink" Target="https://www.mdpi.com/2227-9067/10/10/1696" TargetMode="External"/><Relationship Id="rId4" Type="http://schemas.openxmlformats.org/officeDocument/2006/relationships/hyperlink" Target="https://pmc.ncbi.nlm.nih.gov/articles/PMC8653583/" TargetMode="External"/><Relationship Id="rId9" Type="http://schemas.openxmlformats.org/officeDocument/2006/relationships/hyperlink" Target="https://www.mdpi.com/2079-6382/13/7/592" TargetMode="External"/><Relationship Id="rId14" Type="http://schemas.openxmlformats.org/officeDocument/2006/relationships/hyperlink" Target="https://www.mdpi.com/2079-6382/13/7/592" TargetMode="External"/><Relationship Id="rId22" Type="http://schemas.openxmlformats.org/officeDocument/2006/relationships/hyperlink" Target="https://www.mdpi.com/2079-6382/13/7/592" TargetMode="External"/><Relationship Id="rId27" Type="http://schemas.openxmlformats.org/officeDocument/2006/relationships/hyperlink" Target="https://www.mdpi.com/2227-9067/10/10/1696" TargetMode="External"/><Relationship Id="rId30" Type="http://schemas.openxmlformats.org/officeDocument/2006/relationships/hyperlink" Target="https://www.mdpi.com/2227-9067/10/10/1696" TargetMode="External"/><Relationship Id="rId35" Type="http://schemas.openxmlformats.org/officeDocument/2006/relationships/hyperlink" Target="https://www.mdpi.com/1660-4601/19/15/9401" TargetMode="External"/><Relationship Id="rId8" Type="http://schemas.openxmlformats.org/officeDocument/2006/relationships/hyperlink" Target="https://www.mdpi.com/2079-6382/13/7/592"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5</Pages>
  <Words>2318</Words>
  <Characters>13217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M.A. (Aamir)</dc:creator>
  <cp:keywords/>
  <dc:description/>
  <cp:lastModifiedBy>Hasan, M.A. (Aamir)</cp:lastModifiedBy>
  <cp:revision>1</cp:revision>
  <dcterms:created xsi:type="dcterms:W3CDTF">2024-12-10T08:46:00Z</dcterms:created>
  <dcterms:modified xsi:type="dcterms:W3CDTF">2024-12-10T14:20:00Z</dcterms:modified>
</cp:coreProperties>
</file>