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2B6CB0"/>
          <w:sz w:val="48"/>
        </w:rPr>
        <w:t>Detailed Presenter Script</w:t>
      </w:r>
    </w:p>
    <w:p>
      <w:r>
        <w:rPr>
          <w:rFonts w:ascii="Calibri" w:hAnsi="Calibri"/>
          <w:b/>
          <w:i w:val="0"/>
          <w:color w:val="111827"/>
          <w:sz w:val="32"/>
        </w:rPr>
        <w:t>Virulence-factor profiling of longitudinal urinary E. coli isolates</w:t>
      </w:r>
    </w:p>
    <w:p>
      <w:r>
        <w:rPr>
          <w:rFonts w:ascii="Calibri" w:hAnsi="Calibri"/>
          <w:b w:val="0"/>
          <w:i w:val="0"/>
          <w:color w:val="64748B"/>
          <w:sz w:val="24"/>
        </w:rPr>
        <w:t>Current VF pipeline, descriptive longitudinal findings, and cautious clinical-status overlay</w:t>
      </w:r>
    </w:p>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Purpose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Support a scientific review plus discussion for a colleague who needs biological interpretation and project-navigation context.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Audience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New team colleague with mixed clinical and bioinformatics/R orientation needs.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Framing</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VF analysis of longitudinal urinary E. coli isolates first; UTI versus Not_UTI only as an exploratory clinical annotation.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Core timing</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Slides 1-16 are the spoken narrative. Slides 17-25 are appendix/Q&amp;A backup.</w:t>
            </w:r>
          </w:p>
        </w:tc>
      </w:tr>
    </w:tbl>
    <w:p/>
    <w:tbl>
      <w:tblPr>
        <w:tblW w:type="dxa" w:w="10080"/>
        <w:tblLayout w:type="fixed"/>
        <w:tblLook w:firstColumn="1" w:firstRow="1" w:lastColumn="0" w:lastRow="0" w:noHBand="0" w:noVBand="1" w:val="04A0"/>
      </w:tblPr>
      <w:tblGrid>
        <w:gridCol w:w="9792"/>
      </w:tblGrid>
      <w:tr>
        <w:tc>
          <w:tcPr>
            <w:tcW w:type="dxa" w:w="10080"/>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center"/>
            <w:shd w:fill="EAF7EF"/>
          </w:tcPr>
          <w:p>
            <w:pPr>
              <w:spacing w:after="60"/>
            </w:pPr>
            <w:r>
              <w:rPr>
                <w:rFonts w:ascii="Calibri" w:hAnsi="Calibri"/>
                <w:b/>
                <w:i w:val="0"/>
                <w:color w:val="2F855A"/>
              </w:rPr>
              <w:t>One-sentence thesis</w:t>
            </w:r>
          </w:p>
          <w:p>
            <w:pPr>
              <w:spacing w:after="0"/>
            </w:pPr>
            <w:r>
              <w:rPr>
                <w:rFonts w:ascii="Calibri" w:hAnsi="Calibri"/>
                <w:b w:val="0"/>
                <w:i w:val="0"/>
              </w:rPr>
              <w:t>The current pipeline produces a coherent VF-ready longitudinal isolate dataset; repeated within-resident VF profiles are commonly stable; clinical-status associations remain exploratory under a sparse UTI denominator.</w:t>
            </w:r>
          </w:p>
        </w:tc>
      </w:tr>
    </w:tbl>
    <w:p/>
    <w:p>
      <w:r>
        <w:br w:type="page"/>
      </w:r>
    </w:p>
    <w:p>
      <w:pPr>
        <w:pStyle w:val="Heading1"/>
      </w:pPr>
      <w:r>
        <w:t>How To Use This Script</w:t>
      </w:r>
    </w:p>
    <w:p>
      <w:r>
        <w:t>Read the speaker script as a rehearsal version, not a word-for-word obligation. The primary message should be said nearly exactly; the paragraphs can be shortened live.</w:t>
      </w:r>
    </w:p>
    <w:tbl>
      <w:tblPr>
        <w:tblW w:type="dxa" w:w="10080"/>
        <w:tblLayout w:type="fixed"/>
        <w:tblLook w:firstColumn="1" w:firstRow="1" w:lastColumn="0" w:lastRow="0" w:noHBand="0" w:noVBand="1" w:val="04A0"/>
      </w:tblPr>
      <w:tblGrid>
        <w:gridCol w:w="9792"/>
      </w:tblGrid>
      <w:tr>
        <w:tc>
          <w:tcPr>
            <w:tcW w:type="dxa" w:w="10080"/>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center"/>
            <w:shd w:fill="E8F1FA"/>
          </w:tcPr>
          <w:p>
            <w:pPr>
              <w:spacing w:after="60"/>
            </w:pPr>
            <w:r>
              <w:rPr>
                <w:rFonts w:ascii="Calibri" w:hAnsi="Calibri"/>
                <w:b/>
                <w:i w:val="0"/>
                <w:color w:val="2B6CB0"/>
              </w:rPr>
              <w:t>Tone</w:t>
            </w:r>
          </w:p>
          <w:p>
            <w:pPr>
              <w:spacing w:after="0"/>
            </w:pPr>
            <w:r>
              <w:rPr>
                <w:rFonts w:ascii="Calibri" w:hAnsi="Calibri"/>
                <w:b w:val="0"/>
                <w:i w:val="0"/>
              </w:rPr>
              <w:t>Use VF-first language. Bring in UTI versus Not_UTI only when the deck reaches the clinical annotation section.</w:t>
            </w:r>
          </w:p>
        </w:tc>
      </w:tr>
    </w:tbl>
    <w:p/>
    <w:p>
      <w:pPr>
        <w:pStyle w:val="Heading2"/>
      </w:pPr>
      <w:r>
        <w:t>Avoid Saying</w:t>
      </w:r>
    </w:p>
    <w:p>
      <w:pPr>
        <w:pStyle w:val="ListBullet"/>
      </w:pPr>
      <w:r>
        <w:rPr>
          <w:rFonts w:ascii="Calibri" w:hAnsi="Calibri"/>
          <w:b w:val="0"/>
          <w:i w:val="0"/>
        </w:rPr>
        <w:t>This is a recurrent UTI presentation.</w:t>
      </w:r>
    </w:p>
    <w:p>
      <w:pPr>
        <w:pStyle w:val="ListBullet"/>
      </w:pPr>
      <w:r>
        <w:rPr>
          <w:rFonts w:ascii="Calibri" w:hAnsi="Calibri"/>
          <w:b w:val="0"/>
          <w:i w:val="0"/>
        </w:rPr>
        <w:t>ASB versus UTI is the current primary comparison.</w:t>
      </w:r>
    </w:p>
    <w:p>
      <w:pPr>
        <w:pStyle w:val="ListBullet"/>
      </w:pPr>
      <w:r>
        <w:rPr>
          <w:rFonts w:ascii="Calibri" w:hAnsi="Calibri"/>
          <w:b w:val="0"/>
          <w:i w:val="0"/>
        </w:rPr>
        <w:t>lpf is significantly associated with UTI in the current final analysis.</w:t>
      </w:r>
    </w:p>
    <w:p>
      <w:pPr>
        <w:pStyle w:val="ListBullet"/>
      </w:pPr>
      <w:r>
        <w:rPr>
          <w:rFonts w:ascii="Calibri" w:hAnsi="Calibri"/>
          <w:b w:val="0"/>
          <w:i w:val="0"/>
        </w:rPr>
        <w:t>Stable VF profile proves host-state mechanism.</w:t>
      </w:r>
    </w:p>
    <w:p>
      <w:pPr>
        <w:pStyle w:val="ListBullet"/>
      </w:pPr>
      <w:r>
        <w:rPr>
          <w:rFonts w:ascii="Calibri" w:hAnsi="Calibri"/>
          <w:b w:val="0"/>
          <w:i w:val="0"/>
        </w:rPr>
        <w:t>No VF gene change means nothing bacterial changed.</w:t>
      </w:r>
    </w:p>
    <w:p>
      <w:pPr>
        <w:pStyle w:val="ListBullet"/>
      </w:pPr>
      <w:r>
        <w:rPr>
          <w:rFonts w:ascii="Calibri" w:hAnsi="Calibri"/>
          <w:b w:val="0"/>
          <w:i w:val="0"/>
        </w:rPr>
        <w:t>AMR is a main global association result in this deck.</w:t>
      </w:r>
    </w:p>
    <w:p>
      <w:pPr>
        <w:pStyle w:val="ListBullet"/>
      </w:pPr>
      <w:r>
        <w:rPr>
          <w:rFonts w:ascii="Calibri" w:hAnsi="Calibri"/>
          <w:b w:val="0"/>
          <w:i w:val="0"/>
        </w:rPr>
        <w:t>Same sequence type proves same strain.</w:t>
      </w:r>
    </w:p>
    <w:p>
      <w:r>
        <w:br w:type="page"/>
      </w:r>
    </w:p>
    <w:p>
      <w:pPr>
        <w:pStyle w:val="Heading1"/>
      </w:pPr>
      <w:r>
        <w:t>Slides 1-16: Spoken Narrative</w:t>
      </w:r>
    </w:p>
    <w:p>
      <w:pPr>
        <w:pStyle w:val="Heading1"/>
      </w:pPr>
      <w:r>
        <w:t>Slide 1. Virulence-factor profiling of longitudinal urinary E. coli isolates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Reset the frame: this is a VF-pipeline and longitudinal-isolate review, not a recurrent-UTI-only talk.</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Point to the three question cards, then the four denominator tiles at the bottom.</w:t>
            </w:r>
          </w:p>
        </w:tc>
      </w:tr>
    </w:tbl>
    <w:p/>
    <w:p>
      <w:pPr>
        <w:pStyle w:val="Heading2"/>
      </w:pPr>
      <w:r>
        <w:t>Speaker Script</w:t>
      </w:r>
    </w:p>
    <w:p>
      <w:r>
        <w:t>I want to frame this review around the current virulence-factor pipeline for longitudinal urinary E. coli isolates. The clinical labels matter, but the main object of study is the VF repertoire measured from repeated WGS-linked isolates.</w:t>
      </w:r>
    </w:p>
    <w:p>
      <w:r>
        <w:t>The three questions structure the talk. First: what VF repertoire is present in the current VF-ready dataset? Second: how stable are those profiles over time within the same resident? Third: once the pipeline is established, how can we overlay UTI versus Not_UTI status without overstating sparse clinical associations?</w:t>
      </w:r>
    </w:p>
    <w:p>
      <w:r>
        <w:t>The bottom numbers are the key anchors for the rest of the review: 556 VF-ready episodes, 227 VF gene columns, 394 longitudinal comparisons, and 17 UTI annotations in the VF/model-ready clinical overlay.</w:t>
      </w:r>
    </w:p>
    <w:p>
      <w:pPr>
        <w:pStyle w:val="Heading3"/>
      </w:pPr>
      <w:r>
        <w:t>Emphasise</w:t>
      </w:r>
    </w:p>
    <w:p>
      <w:pPr>
        <w:pStyle w:val="ListBullet"/>
      </w:pPr>
      <w:r>
        <w:rPr>
          <w:rFonts w:ascii="Calibri" w:hAnsi="Calibri"/>
          <w:b w:val="0"/>
          <w:i w:val="0"/>
        </w:rPr>
        <w:t>Say VF analysis first; clinical status overlay second.</w:t>
      </w:r>
    </w:p>
    <w:p>
      <w:pPr>
        <w:pStyle w:val="ListBullet"/>
      </w:pPr>
      <w:r>
        <w:rPr>
          <w:rFonts w:ascii="Calibri" w:hAnsi="Calibri"/>
          <w:b w:val="0"/>
          <w:i w:val="0"/>
        </w:rPr>
        <w:t>Make clear that the deck is about the current pipeline and what it can safely support.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introduce this as a recurrent UTI findings deck or as a disease-association result.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I’ll start with why repeated-isolate VF profiling gives us a different question from a single clinical-status comparison.</w:t>
            </w:r>
          </w:p>
        </w:tc>
      </w:tr>
    </w:tbl>
    <w:p/>
    <w:p>
      <w:pPr>
        <w:pStyle w:val="Heading1"/>
      </w:pPr>
      <w:r>
        <w:t>Slide 2. The YELLOW routine in one plain-English loop</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Give a newcomer the whole behind-the-scenes loop before technical results appear.</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Move left to right across the six boxes, then use the three lower boxes to separate measurement, comparison, and clinical overlay.</w:t>
            </w:r>
          </w:p>
        </w:tc>
      </w:tr>
    </w:tbl>
    <w:p/>
    <w:p>
      <w:pPr>
        <w:pStyle w:val="Heading2"/>
      </w:pPr>
      <w:r>
        <w:t>Speaker Script</w:t>
      </w:r>
    </w:p>
    <w:p>
      <w:r>
        <w:t>This slide is the simple mental model for the whole project. We start with a clinical episode: a urine-sampling moment with symptoms, culture context, and later clinical status.</w:t>
      </w:r>
    </w:p>
    <w:p>
      <w:r>
        <w:t>From that episode, a urinary E. coli isolate is selected and sequenced. The sequencing data are assembled into a genome representation, and that genome is screened for virulence-factor genes.</w:t>
      </w:r>
    </w:p>
    <w:p>
      <w:r>
        <w:t>The key data object is then a VF gene row: for each isolate, each virulence-factor gene is marked detected or not detected. Those rows are summarised into profile outputs such as modules, burden, Jaccard similarity, and gain/loss between repeated isolates.</w:t>
      </w:r>
    </w:p>
    <w:p>
      <w:r>
        <w:t>The important sequencing of logic is this: first we measure the bacterial VF profile, then we compare repeated profiles within residents, and only then do we overlay clinical status such as UTI versus Not_UTI.</w:t>
      </w:r>
    </w:p>
    <w:p>
      <w:pPr>
        <w:pStyle w:val="Heading3"/>
      </w:pPr>
      <w:r>
        <w:t>Emphasise</w:t>
      </w:r>
    </w:p>
    <w:p>
      <w:pPr>
        <w:pStyle w:val="ListBullet"/>
      </w:pPr>
      <w:r>
        <w:rPr>
          <w:rFonts w:ascii="Calibri" w:hAnsi="Calibri"/>
          <w:b w:val="0"/>
          <w:i w:val="0"/>
        </w:rPr>
        <w:t>One clinical episode becomes one bacterial genome profile.</w:t>
      </w:r>
    </w:p>
    <w:p>
      <w:pPr>
        <w:pStyle w:val="ListBullet"/>
      </w:pPr>
      <w:r>
        <w:rPr>
          <w:rFonts w:ascii="Calibri" w:hAnsi="Calibri"/>
          <w:b w:val="0"/>
          <w:i w:val="0"/>
        </w:rPr>
        <w:t>The project is not only status comparison; it is longitudinal VF profiling.</w:t>
      </w:r>
    </w:p>
    <w:p>
      <w:pPr>
        <w:pStyle w:val="ListBullet"/>
      </w:pPr>
      <w:r>
        <w:rPr>
          <w:rFonts w:ascii="Calibri" w:hAnsi="Calibri"/>
          <w:b w:val="0"/>
          <w:i w:val="0"/>
        </w:rPr>
        <w:t>Clinical status enters as an interpretation layer after the genomic/VF profile is built.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dive into script names or denominator changes on this slide; keep it plain-English.</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Now that the loop is clear, the next slide explains why the numbers change as data move through that loop.</w:t>
            </w:r>
          </w:p>
        </w:tc>
      </w:tr>
    </w:tbl>
    <w:p/>
    <w:p>
      <w:pPr>
        <w:pStyle w:val="Heading1"/>
      </w:pPr>
      <w:r>
        <w:t>Slide 3. What changes as data move through the pipeline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Explain that each denominator refers to a different unit of analysis.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 ladder from clinical episodes to VF-ready episodes, feature space, longitudinal pairs, and clinical transitions.</w:t>
            </w:r>
          </w:p>
        </w:tc>
      </w:tr>
    </w:tbl>
    <w:p/>
    <w:p>
      <w:pPr>
        <w:pStyle w:val="Heading2"/>
      </w:pPr>
      <w:r>
        <w:t>Speaker Script</w:t>
      </w:r>
    </w:p>
    <w:p>
      <w:r>
        <w:t>This slide is here to stop a very common misunderstanding. The counts are not meant to match at every step, because the unit changes.</w:t>
      </w:r>
    </w:p>
    <w:p>
      <w:r>
        <w:t>At the clinical layer we have 583 episodes. Once we require selected assemblies and VF-ready evidence, the analysis dataset has 556 VF-ready episodes. Then we switch from rows to features: 227 VF gene columns are grouped into 32 curated modules.</w:t>
      </w:r>
    </w:p>
    <w:p>
      <w:r>
        <w:t>For the longitudinal analysis, the unit changes again. We are no longer counting episodes; we are counting consecutive within-resident comparisons, which gives 394 longitudinal pairs. Finally, the clinical transition application focuses on a much smaller set: 11 Not_UTI to UTI transition cases.</w:t>
      </w:r>
    </w:p>
    <w:p>
      <w:r>
        <w:t>So the live rule is: always ask what the row is. Is it a clinical episode, an assembly, a VF feature, a pair, or a transition?</w:t>
      </w:r>
    </w:p>
    <w:p>
      <w:pPr>
        <w:pStyle w:val="Heading3"/>
      </w:pPr>
      <w:r>
        <w:t>Emphasise</w:t>
      </w:r>
    </w:p>
    <w:p>
      <w:pPr>
        <w:pStyle w:val="ListBullet"/>
      </w:pPr>
      <w:r>
        <w:rPr>
          <w:rFonts w:ascii="Calibri" w:hAnsi="Calibri"/>
          <w:b w:val="0"/>
          <w:i w:val="0"/>
        </w:rPr>
        <w:t>Counts change because the unit changes.</w:t>
      </w:r>
    </w:p>
    <w:p>
      <w:pPr>
        <w:pStyle w:val="ListBullet"/>
      </w:pPr>
      <w:r>
        <w:rPr>
          <w:rFonts w:ascii="Calibri" w:hAnsi="Calibri"/>
          <w:b w:val="0"/>
          <w:i w:val="0"/>
        </w:rPr>
        <w:t>The same project contains rows, columns, pairs, and transition cases.</w:t>
      </w:r>
    </w:p>
    <w:p>
      <w:pPr>
        <w:pStyle w:val="ListBullet"/>
      </w:pPr>
      <w:r>
        <w:rPr>
          <w:rFonts w:ascii="Calibri" w:hAnsi="Calibri"/>
          <w:b w:val="0"/>
          <w:i w:val="0"/>
        </w:rPr>
        <w:t>Do not compare denominators as if they are all the same object.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frame denominator loss as unexplained missingness; much of it reflects unit changes and eligibility filters.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Before we return to VF stability, I want to define what UTI means in this pipeline.</w:t>
            </w:r>
          </w:p>
        </w:tc>
      </w:tr>
    </w:tbl>
    <w:p/>
    <w:p>
      <w:pPr>
        <w:pStyle w:val="Heading1"/>
      </w:pPr>
      <w:r>
        <w:t>Slide 4. How an episode becomes UTI in this project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Define the clinical annotation simply: culture support plus catheter-aware compatible symptoms.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Show the two criteria feeding into UTI, then the denominator boxes at the bottom.</w:t>
            </w:r>
          </w:p>
        </w:tc>
      </w:tr>
    </w:tbl>
    <w:p/>
    <w:p>
      <w:pPr>
        <w:pStyle w:val="Heading2"/>
      </w:pPr>
      <w:r>
        <w:t>Speaker Script</w:t>
      </w:r>
    </w:p>
    <w:p>
      <w:r>
        <w:t>In this project, UTI is not just bacteria in urine. The primary status requires two things: culture support and compatible symptoms.</w:t>
      </w:r>
    </w:p>
    <w:p>
      <w:r>
        <w:t>Culture support means the urine culture evidence is compatible with possible infection under the primary lower-threshold rule, using &gt;=10^3 CFU/mL support where CFU data are available.</w:t>
      </w:r>
    </w:p>
    <w:p>
      <w:r>
        <w:t>The symptom rule is catheter-aware. Non-catheter and catheter episodes use different clinical logic, because the symptom picture and diagnostic confidence differ between those contexts.</w:t>
      </w:r>
    </w:p>
    <w:p>
      <w:r>
        <w:t>If both culture support and the compatible symptom rule are met, the episode is labelled UTI. Otherwise it is Not_UTI. That gives the primary clinical denominator: 583 clinical episodes, with 18 UTI and 565 Not_UTI.</w:t>
      </w:r>
    </w:p>
    <w:p>
      <w:r>
        <w:t>The key caution is that Not_UTI is a mixed comparator. It can include bacteriuria without the symptom rule, culture-negative or below-threshold episodes, and near-miss or sensitivity-only rows. So Not_UTI should not be described as one uniform biological state.</w:t>
      </w:r>
    </w:p>
    <w:p>
      <w:pPr>
        <w:pStyle w:val="Heading3"/>
      </w:pPr>
      <w:r>
        <w:t>Emphasise</w:t>
      </w:r>
    </w:p>
    <w:p>
      <w:pPr>
        <w:pStyle w:val="ListBullet"/>
      </w:pPr>
      <w:r>
        <w:rPr>
          <w:rFonts w:ascii="Calibri" w:hAnsi="Calibri"/>
          <w:b w:val="0"/>
          <w:i w:val="0"/>
        </w:rPr>
        <w:t>UTI = culture support plus compatible clinical picture.</w:t>
      </w:r>
    </w:p>
    <w:p>
      <w:pPr>
        <w:pStyle w:val="ListBullet"/>
      </w:pPr>
      <w:r>
        <w:rPr>
          <w:rFonts w:ascii="Calibri" w:hAnsi="Calibri"/>
          <w:b w:val="0"/>
          <w:i w:val="0"/>
        </w:rPr>
        <w:t>The symptom rule is catheter-aware.</w:t>
      </w:r>
    </w:p>
    <w:p>
      <w:pPr>
        <w:pStyle w:val="ListBullet"/>
      </w:pPr>
      <w:r>
        <w:rPr>
          <w:rFonts w:ascii="Calibri" w:hAnsi="Calibri"/>
          <w:b w:val="0"/>
          <w:i w:val="0"/>
        </w:rPr>
        <w:t>Not_UTI is heterogeneous and should be interpreted carefully.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call every culture-positive episode a UTI, and do not treat Not_UTI as equivalent to healthy/no bacteria.</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With the clinical annotation defined, we can return to the main VF-first question: what do repeated urinary E. coli profiles do over time?</w:t>
            </w:r>
          </w:p>
        </w:tc>
      </w:tr>
    </w:tbl>
    <w:p/>
    <w:p>
      <w:pPr>
        <w:pStyle w:val="Heading1"/>
      </w:pPr>
      <w:r>
        <w:t>Slide 5. Longitudinal urinary E. coli VF analysis asks about repertoire and stability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Longitudinal VF analysis separates persistent carriage, replacement, and gene-content change.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Walk left to right: repeated isolates, three longitudinal patterns, clinical overlay as the later layer.</w:t>
            </w:r>
          </w:p>
        </w:tc>
      </w:tr>
    </w:tbl>
    <w:p/>
    <w:p>
      <w:pPr>
        <w:pStyle w:val="Heading2"/>
      </w:pPr>
      <w:r>
        <w:t>Speaker Script</w:t>
      </w:r>
    </w:p>
    <w:p>
      <w:r>
        <w:t>For each isolate, the VF profile is a measured gene-content snapshot. If we only compare UTI and Not_UTI episodes cross-sectionally, we miss the temporal biology: a resident may carry a stable E. coli profile, may acquire a replacement lineage, or may show apparent VF gene gains or losses between visits.</w:t>
      </w:r>
    </w:p>
    <w:p>
      <w:r>
        <w:t>The middle column names the three patterns I want the listener to keep in mind: persistent lineage, replacement, and gene-content change. These are interpretive buckets, not mutually perfect mechanistic categories.</w:t>
      </w:r>
    </w:p>
    <w:p>
      <w:r>
        <w:t>The right-hand panel is deliberately labelled clinical overlay comes later. UTI_Status is useful, but in this analysis it is a cautious annotation layer placed on top of the genomic/VF pipeline rather than the whole thesis.</w:t>
      </w:r>
    </w:p>
    <w:p>
      <w:pPr>
        <w:pStyle w:val="Heading3"/>
      </w:pPr>
      <w:r>
        <w:t>Emphasise</w:t>
      </w:r>
    </w:p>
    <w:p>
      <w:pPr>
        <w:pStyle w:val="ListBullet"/>
      </w:pPr>
      <w:r>
        <w:rPr>
          <w:rFonts w:ascii="Calibri" w:hAnsi="Calibri"/>
          <w:b w:val="0"/>
          <w:i w:val="0"/>
        </w:rPr>
        <w:t>VF presence/absence is a genomic feature, not expression or activity.</w:t>
      </w:r>
    </w:p>
    <w:p>
      <w:pPr>
        <w:pStyle w:val="ListBullet"/>
      </w:pPr>
      <w:r>
        <w:rPr>
          <w:rFonts w:ascii="Calibri" w:hAnsi="Calibri"/>
          <w:b w:val="0"/>
          <w:i w:val="0"/>
        </w:rPr>
        <w:t>The longitudinal structure is the reason the dataset is interesting.</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say stable VF equals asymptomatic carriage or replacement equals new infection without supporting genomic context.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shows what data asset feeds that longitudinal question.</w:t>
            </w:r>
          </w:p>
        </w:tc>
      </w:tr>
    </w:tbl>
    <w:p/>
    <w:p>
      <w:pPr>
        <w:pStyle w:val="Heading1"/>
      </w:pPr>
      <w:r>
        <w:t>Slide 6. VF-ready data link repeated urinary E. coli genomes to clinical episodes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Define the unit of analysis and the VF-ready denominator.</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 metric tiles first, then the repeated isolate timeline.</w:t>
            </w:r>
          </w:p>
        </w:tc>
      </w:tr>
    </w:tbl>
    <w:p/>
    <w:p>
      <w:pPr>
        <w:pStyle w:val="Heading2"/>
      </w:pPr>
      <w:r>
        <w:t>Speaker Script</w:t>
      </w:r>
    </w:p>
    <w:p>
      <w:r>
        <w:t>The analysis dataset is episode-level. Each row represents a selected urinary E. coli assembly linked to a clinical episode and translated into a binary VF profile.</w:t>
      </w:r>
    </w:p>
    <w:p>
      <w:r>
        <w:t>The VF-ready dataset contains 556 episode-level selected assemblies from 162 participants. Those assemblies are represented by 227 binary VF gene columns. The curation framework groups those genes into 32 modules, including 18 UPEC-candidate modules.</w:t>
      </w:r>
    </w:p>
    <w:p>
      <w:r>
        <w:t>The timeline underneath is schematic: one resident can contribute repeated Not_UTI and UTI-labelled episodes. The key point is that status labels can be overlaid on repeated isolates, but the molecular unit remains the episode-level isolate profile.</w:t>
      </w:r>
    </w:p>
    <w:p>
      <w:pPr>
        <w:pStyle w:val="Heading3"/>
      </w:pPr>
      <w:r>
        <w:t>Emphasise</w:t>
      </w:r>
    </w:p>
    <w:p>
      <w:pPr>
        <w:pStyle w:val="ListBullet"/>
      </w:pPr>
      <w:r>
        <w:rPr>
          <w:rFonts w:ascii="Calibri" w:hAnsi="Calibri"/>
          <w:b w:val="0"/>
          <w:i w:val="0"/>
        </w:rPr>
        <w:t>The 162 count is the VF-ready dataset participant count.</w:t>
      </w:r>
    </w:p>
    <w:p>
      <w:pPr>
        <w:pStyle w:val="ListBullet"/>
      </w:pPr>
      <w:r>
        <w:rPr>
          <w:rFonts w:ascii="Calibri" w:hAnsi="Calibri"/>
          <w:b w:val="0"/>
          <w:i w:val="0"/>
        </w:rPr>
        <w:t>Avoid displaying or discussing the unresolved total clinical participant count.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imply that all 583 clinical episodes have VF-ready WGS evidence.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Now I’ll go through the exact handoffs that take us from clinical classification to VF outputs.</w:t>
            </w:r>
          </w:p>
        </w:tc>
      </w:tr>
    </w:tbl>
    <w:p/>
    <w:p>
      <w:pPr>
        <w:pStyle w:val="Heading1"/>
      </w:pPr>
      <w:r>
        <w:t>Slide 7. Numbered clinical-to-VF pipeline with visible denominators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Orient the colleague to each pipeline handoff and why counts change.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Read the flow in numbered order; pause on the places where the denominator changes.</w:t>
            </w:r>
          </w:p>
        </w:tc>
      </w:tr>
    </w:tbl>
    <w:p/>
    <w:p>
      <w:pPr>
        <w:pStyle w:val="Heading2"/>
      </w:pPr>
      <w:r>
        <w:t>Speaker Script</w:t>
      </w:r>
    </w:p>
    <w:p>
      <w:r>
        <w:t>This is the slide I would expect a new colleague to come back to. It shows the current pipeline with the count at each handoff, so they can understand what is being compared.</w:t>
      </w:r>
    </w:p>
    <w:p>
      <w:r>
        <w:t>We begin with 585 classified clinical episodes before primary manual exclusions. After primary clinical inclusion, 583 episodes remain: 18 UTI and 565 Not_UTI, with two excluded. At the WGS QC stage there are 1,291 assembly-level QC records, which is larger because assembler alternatives are still represented.</w:t>
      </w:r>
    </w:p>
    <w:p>
      <w:r>
        <w:t>Canonical selection brings this to 556 selected episode-level assemblies. Those become 556 VF presence/absence rows, and then 556 VF/model-ready episodes. In that model-ready clinical overlay there are 17 UTI and 539 Not_UTI episodes, meaning 27 clinical episodes do not have VF-ready evidence.</w:t>
      </w:r>
    </w:p>
    <w:p>
      <w:r>
        <w:t>The feature framework maps 227 VF gene columns into 32 modules, including 18 UPEC-candidate modules. The longitudinal layer then uses 394 consecutive within-resident comparisons from 144 participants. Finally, the clinical transition application identifies 11 Not_UTI to UTI clinical transitions, 10 of which are WGS/VF-linked, with one missing endpoint.</w:t>
      </w:r>
    </w:p>
    <w:p>
      <w:pPr>
        <w:pStyle w:val="Heading3"/>
      </w:pPr>
      <w:r>
        <w:t>Emphasise</w:t>
      </w:r>
    </w:p>
    <w:p>
      <w:pPr>
        <w:pStyle w:val="ListBullet"/>
      </w:pPr>
      <w:r>
        <w:rPr>
          <w:rFonts w:ascii="Calibri" w:hAnsi="Calibri"/>
          <w:b w:val="0"/>
          <w:i w:val="0"/>
        </w:rPr>
        <w:t>Different rows mean different units: clinical episodes, assembly QC records, selected assemblies, VF rows, longitudinal pairs.</w:t>
      </w:r>
    </w:p>
    <w:p>
      <w:pPr>
        <w:pStyle w:val="ListBullet"/>
      </w:pPr>
      <w:r>
        <w:rPr>
          <w:rFonts w:ascii="Calibri" w:hAnsi="Calibri"/>
          <w:b w:val="0"/>
          <w:i w:val="0"/>
        </w:rPr>
        <w:t>The main deck should not show disputed participant totals or ST totals.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describe 1,291 assembly QC records as 1,291 unique isolates.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Before we interpret VF figures, I want to define what the VF features are and what they are not.</w:t>
            </w:r>
          </w:p>
        </w:tc>
      </w:tr>
    </w:tbl>
    <w:p/>
    <w:p>
      <w:pPr>
        <w:pStyle w:val="Heading1"/>
      </w:pPr>
      <w:r>
        <w:t>Slide 8. VF features: genes, curated modules, and longitudinal similarity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Separate raw gene detection, curated modules, and downstream outputs.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Follow the three main boxes from gene matrix to modules to outputs, then explain the caution box.</w:t>
            </w:r>
          </w:p>
        </w:tc>
      </w:tr>
    </w:tbl>
    <w:p/>
    <w:p>
      <w:pPr>
        <w:pStyle w:val="Heading2"/>
      </w:pPr>
      <w:r>
        <w:t>Speaker Script</w:t>
      </w:r>
    </w:p>
    <w:p>
      <w:r>
        <w:t>The raw VF representation is a binary presence/absence matrix: for each selected assembly, each of 227 VF gene columns is marked detected or not detected. That is a genomic detection framework, not a direct measure of transcription, protein production, or activity.</w:t>
      </w:r>
    </w:p>
    <w:p>
      <w:r>
        <w:t>The curated module layer helps make the feature space biologically interpretable. Rather than discussing hundreds of genes one by one, we can summarise systems such as adhesion, iron acquisition, secretion, toxin, capsule or other surface-related features, and unassigned genes.</w:t>
      </w:r>
    </w:p>
    <w:p>
      <w:r>
        <w:t>The outputs are burden, prevalence, Jaccard similarity, gain/loss, and exploratory models. The caution is important: 25.1 percent of the VF matrix is unassigned, so total burden should be interpreted separately from curated module or UPEC-candidate summaries.</w:t>
      </w:r>
    </w:p>
    <w:p>
      <w:pPr>
        <w:pStyle w:val="Heading3"/>
      </w:pPr>
      <w:r>
        <w:t>Emphasise</w:t>
      </w:r>
    </w:p>
    <w:p>
      <w:pPr>
        <w:pStyle w:val="ListBullet"/>
      </w:pPr>
      <w:r>
        <w:rPr>
          <w:rFonts w:ascii="Calibri" w:hAnsi="Calibri"/>
          <w:b w:val="0"/>
          <w:i w:val="0"/>
        </w:rPr>
        <w:t>Modules are curation units, not validated disease-causality scores.</w:t>
      </w:r>
    </w:p>
    <w:p>
      <w:pPr>
        <w:pStyle w:val="ListBullet"/>
      </w:pPr>
      <w:r>
        <w:rPr>
          <w:rFonts w:ascii="Calibri" w:hAnsi="Calibri"/>
          <w:b w:val="0"/>
          <w:i w:val="0"/>
        </w:rPr>
        <w:t>Jaccard similarity measures profile overlap, not strain identity by itself.</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let the audience hear 'module' as 'clinically validated pathway'.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With the feature framework defined, the first evidence slide simply asks what VF genes are common.</w:t>
            </w:r>
          </w:p>
        </w:tc>
      </w:tr>
    </w:tbl>
    <w:p/>
    <w:p>
      <w:pPr>
        <w:pStyle w:val="Heading1"/>
      </w:pPr>
      <w:r>
        <w:t>Slide 9. Common VF genes describe the observed repertoire, not disease association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top-gene plot is descriptive repertoire evidence.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Point to the ranked bars and the descriptive label.</w:t>
            </w:r>
          </w:p>
        </w:tc>
      </w:tr>
    </w:tbl>
    <w:p/>
    <w:p>
      <w:pPr>
        <w:pStyle w:val="Heading2"/>
      </w:pPr>
      <w:r>
        <w:t>Speaker Script</w:t>
      </w:r>
    </w:p>
    <w:p>
      <w:r>
        <w:t>This figure ranks the most prevalent VF genes among the 556 VF/WGS-linked urinary E. coli isolates. It is a repertoire view: what genes are commonly detected in this dataset?</w:t>
      </w:r>
    </w:p>
    <w:p>
      <w:r>
        <w:t>You can use it to orient the audience to the feature space: common fimbrial or adhesion-associated genes, iron acquisition systems, and other VFDB-derived features appear across many isolates. But this is not an association result. A gene being common does not mean it distinguishes UTI from Not_UTI or causes symptoms.</w:t>
      </w:r>
    </w:p>
    <w:p>
      <w:r>
        <w:t>If someone asks why this matters, the answer is that it defines the background VF landscape before we start discussing longitudinal stability or clinical overlays.</w:t>
      </w:r>
    </w:p>
    <w:p>
      <w:pPr>
        <w:pStyle w:val="Heading3"/>
      </w:pPr>
      <w:r>
        <w:t>Emphasise</w:t>
      </w:r>
    </w:p>
    <w:p>
      <w:pPr>
        <w:pStyle w:val="ListBullet"/>
      </w:pPr>
      <w:r>
        <w:rPr>
          <w:rFonts w:ascii="Calibri" w:hAnsi="Calibri"/>
          <w:b w:val="0"/>
          <w:i w:val="0"/>
        </w:rPr>
        <w:t>Descriptive prevalence comes before association testing.</w:t>
      </w:r>
    </w:p>
    <w:p>
      <w:pPr>
        <w:pStyle w:val="ListBullet"/>
      </w:pPr>
      <w:r>
        <w:rPr>
          <w:rFonts w:ascii="Calibri" w:hAnsi="Calibri"/>
          <w:b w:val="0"/>
          <w:i w:val="0"/>
        </w:rPr>
        <w:t>The y-axis ranking is about frequency in the VF-ready dataset.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call any prevalent gene a UTI marker from this slide.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groups those individual genes into biological modules to make interpretation easier.</w:t>
            </w:r>
          </w:p>
        </w:tc>
      </w:tr>
    </w:tbl>
    <w:p/>
    <w:p>
      <w:pPr>
        <w:pStyle w:val="Heading1"/>
      </w:pPr>
      <w:r>
        <w:t>Slide 10. Curated modules organise genes into interpretable biological systems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Modules reduce complexity while preserving biological interpretability.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 bar heights to show which module categories contain more genes.</w:t>
            </w:r>
          </w:p>
        </w:tc>
      </w:tr>
    </w:tbl>
    <w:p/>
    <w:p>
      <w:pPr>
        <w:pStyle w:val="Heading2"/>
      </w:pPr>
      <w:r>
        <w:t>Speaker Script</w:t>
      </w:r>
    </w:p>
    <w:p>
      <w:r>
        <w:t>This slide shows the module framework. The goal is not to replace gene-level information, but to give the analysis a more interpretable vocabulary.</w:t>
      </w:r>
    </w:p>
    <w:p>
      <w:r>
        <w:t>A new colleague can use this figure to understand which biological systems are represented in the VF matrix. Some modules contain many genes, so they will naturally contribute more to burden summaries, while smaller modules may be biologically meaningful but numerically less dominant.</w:t>
      </w:r>
    </w:p>
    <w:p>
      <w:r>
        <w:t>The important phrasing is curated framework. These modules help us organise the analysis; they are not validated predictors of symptomatic infection.</w:t>
      </w:r>
    </w:p>
    <w:p>
      <w:pPr>
        <w:pStyle w:val="Heading3"/>
      </w:pPr>
      <w:r>
        <w:t>Emphasise</w:t>
      </w:r>
    </w:p>
    <w:p>
      <w:pPr>
        <w:pStyle w:val="ListBullet"/>
      </w:pPr>
      <w:r>
        <w:rPr>
          <w:rFonts w:ascii="Calibri" w:hAnsi="Calibri"/>
          <w:b w:val="0"/>
          <w:i w:val="0"/>
        </w:rPr>
        <w:t>Modules are helpful for biological discussion and handover.</w:t>
      </w:r>
    </w:p>
    <w:p>
      <w:pPr>
        <w:pStyle w:val="ListBullet"/>
      </w:pPr>
      <w:r>
        <w:rPr>
          <w:rFonts w:ascii="Calibri" w:hAnsi="Calibri"/>
          <w:b w:val="0"/>
          <w:i w:val="0"/>
        </w:rPr>
        <w:t>Gene count per module affects how burden-like summaries behave.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compare module size as though it directly measures importance.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Once the repertoire and modules are defined, the central longitudinal question is how much they change over time.</w:t>
            </w:r>
          </w:p>
        </w:tc>
      </w:tr>
    </w:tbl>
    <w:p/>
    <w:p>
      <w:pPr>
        <w:pStyle w:val="Heading1"/>
      </w:pPr>
      <w:r>
        <w:t>Slide 11. Most repeated within-resident VF profiles are highly stable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central longitudinal result: VF profiles are often conserved within residents.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Point to the mass of comparisons near Jaccard 1.000 and the central finding box.</w:t>
            </w:r>
          </w:p>
        </w:tc>
      </w:tr>
    </w:tbl>
    <w:p/>
    <w:p>
      <w:pPr>
        <w:pStyle w:val="Heading2"/>
      </w:pPr>
      <w:r>
        <w:t>Speaker Script</w:t>
      </w:r>
    </w:p>
    <w:p>
      <w:r>
        <w:t>This is one of the most important slides in the deck. Across 394 consecutive within-resident comparisons from 144 participants, the median within-resident VF Jaccard similarity is 1.000. In other words, for the typical consecutive pair, the detected VF gene set is identical.</w:t>
      </w:r>
    </w:p>
    <w:p>
      <w:r>
        <w:t>The additional headline is that 62.4 percent of consecutive comparisons show no VF change. That tells us that the dominant pattern in this dataset is profile stability, not repeated major VF gain or loss.</w:t>
      </w:r>
    </w:p>
    <w:p>
      <w:r>
        <w:t>The careful interpretation is that VF stability supports persistent-profile explanations, but it does not prove same-strain persistence on its own. For that, we need SNP distance, sequence type, and broader genomic context.</w:t>
      </w:r>
    </w:p>
    <w:p>
      <w:pPr>
        <w:pStyle w:val="Heading3"/>
      </w:pPr>
      <w:r>
        <w:t>Emphasise</w:t>
      </w:r>
    </w:p>
    <w:p>
      <w:pPr>
        <w:pStyle w:val="ListBullet"/>
      </w:pPr>
      <w:r>
        <w:rPr>
          <w:rFonts w:ascii="Calibri" w:hAnsi="Calibri"/>
          <w:b w:val="0"/>
          <w:i w:val="0"/>
        </w:rPr>
        <w:t>Median Jaccard similarity: 1.000.</w:t>
      </w:r>
    </w:p>
    <w:p>
      <w:pPr>
        <w:pStyle w:val="ListBullet"/>
      </w:pPr>
      <w:r>
        <w:rPr>
          <w:rFonts w:ascii="Calibri" w:hAnsi="Calibri"/>
          <w:b w:val="0"/>
          <w:i w:val="0"/>
        </w:rPr>
        <w:t>62.4 percent with no VF change.</w:t>
      </w:r>
    </w:p>
    <w:p>
      <w:pPr>
        <w:pStyle w:val="ListBullet"/>
      </w:pPr>
      <w:r>
        <w:rPr>
          <w:rFonts w:ascii="Calibri" w:hAnsi="Calibri"/>
          <w:b w:val="0"/>
          <w:i w:val="0"/>
        </w:rPr>
        <w:t>This is descriptive longitudinal evidence.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claim that stable VF profile proves the same strain persisted.</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asks where change does appear and how we should treat it.</w:t>
            </w:r>
          </w:p>
        </w:tc>
      </w:tr>
    </w:tbl>
    <w:p/>
    <w:p>
      <w:pPr>
        <w:pStyle w:val="Heading1"/>
      </w:pPr>
      <w:r>
        <w:t>Slide 12. When profiles change, gain/loss summaries flag candidates for follow-up</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VF change events are leads, not automatic biological conclusions.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Explain the gain/loss distributions and point to outlier behaviour.</w:t>
            </w:r>
          </w:p>
        </w:tc>
      </w:tr>
    </w:tbl>
    <w:p/>
    <w:p>
      <w:pPr>
        <w:pStyle w:val="Heading2"/>
      </w:pPr>
      <w:r>
        <w:t>Speaker Script</w:t>
      </w:r>
    </w:p>
    <w:p>
      <w:r>
        <w:t>This figure focuses on consecutive pairs where the VF profile does change. It summarises apparent gene gains and losses between repeated isolates.</w:t>
      </w:r>
    </w:p>
    <w:p>
      <w:r>
        <w:t>Most comparisons are close to zero, consistent with the stability shown on the previous slide. But the tails matter. Pairs with many apparent gains or losses are candidates for follow-up, because they may represent strain replacement, changes in assembly or gene-calling confidence, or true gene-content change.</w:t>
      </w:r>
    </w:p>
    <w:p>
      <w:r>
        <w:t>The correct language here is flagging and prioritisation. This slide helps us identify which cases deserve closer review; it does not by itself adjudicate mechanism.</w:t>
      </w:r>
    </w:p>
    <w:p>
      <w:pPr>
        <w:pStyle w:val="Heading3"/>
      </w:pPr>
      <w:r>
        <w:t>Emphasise</w:t>
      </w:r>
    </w:p>
    <w:p>
      <w:pPr>
        <w:pStyle w:val="ListBullet"/>
      </w:pPr>
      <w:r>
        <w:rPr>
          <w:rFonts w:ascii="Calibri" w:hAnsi="Calibri"/>
          <w:b w:val="0"/>
          <w:i w:val="0"/>
        </w:rPr>
        <w:t>Gain/loss summaries should trigger context review.</w:t>
      </w:r>
    </w:p>
    <w:p>
      <w:pPr>
        <w:pStyle w:val="ListBullet"/>
      </w:pPr>
      <w:r>
        <w:rPr>
          <w:rFonts w:ascii="Calibri" w:hAnsi="Calibri"/>
          <w:b w:val="0"/>
          <w:i w:val="0"/>
        </w:rPr>
        <w:t>Outliers are useful even if they are not immediately mechanistic.</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call every gain/loss event within-host evolution.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To interpret those changes, we need lineage context.</w:t>
            </w:r>
          </w:p>
        </w:tc>
      </w:tr>
    </w:tbl>
    <w:p/>
    <w:p>
      <w:pPr>
        <w:pStyle w:val="Heading1"/>
      </w:pPr>
      <w:r>
        <w:t>Slide 13. Sequence-type consistency helps interpret VF stability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Lineage context helps distinguish persistence-like from replacement-like comparisons.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Contrast same-ST and different-ST comparisons without overreading the plot.</w:t>
            </w:r>
          </w:p>
        </w:tc>
      </w:tr>
    </w:tbl>
    <w:p/>
    <w:p>
      <w:pPr>
        <w:pStyle w:val="Heading2"/>
      </w:pPr>
      <w:r>
        <w:t>Speaker Script</w:t>
      </w:r>
    </w:p>
    <w:p>
      <w:r>
        <w:t>This diagnostic plot asks whether VF similarity behaves differently when consecutive isolates share the same sequence type versus when they do not. It provides lineage context for the stability result.</w:t>
      </w:r>
    </w:p>
    <w:p>
      <w:r>
        <w:t>The broad expectation is that same-ST pairs should often have more similar VF profiles, while different-ST pairs are more likely to reflect replacement-like events or broader gene-content differences. But ST is still a coarse label. It helps triage interpretation; it does not prove persistence alone.</w:t>
      </w:r>
    </w:p>
    <w:p>
      <w:r>
        <w:t>This is why the pipeline combines profile similarity with SNP distance and case-level interpretation when discussing transitions.</w:t>
      </w:r>
    </w:p>
    <w:p>
      <w:pPr>
        <w:pStyle w:val="Heading3"/>
      </w:pPr>
      <w:r>
        <w:t>Emphasise</w:t>
      </w:r>
    </w:p>
    <w:p>
      <w:pPr>
        <w:pStyle w:val="ListBullet"/>
      </w:pPr>
      <w:r>
        <w:rPr>
          <w:rFonts w:ascii="Calibri" w:hAnsi="Calibri"/>
          <w:b w:val="0"/>
          <w:i w:val="0"/>
        </w:rPr>
        <w:t>ST is a context variable, not a final answer.</w:t>
      </w:r>
    </w:p>
    <w:p>
      <w:pPr>
        <w:pStyle w:val="ListBullet"/>
      </w:pPr>
      <w:r>
        <w:rPr>
          <w:rFonts w:ascii="Calibri" w:hAnsi="Calibri"/>
          <w:b w:val="0"/>
          <w:i w:val="0"/>
        </w:rPr>
        <w:t>This slide prepares the audience for cautious clinical interpretation.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equate same ST with same strain.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Only after the VF and lineage context are established do I introduce clinical-status comparison.</w:t>
            </w:r>
          </w:p>
        </w:tc>
      </w:tr>
    </w:tbl>
    <w:p/>
    <w:p>
      <w:pPr>
        <w:pStyle w:val="Heading1"/>
      </w:pPr>
      <w:r>
        <w:t>Slide 14. UTI status overlay remains exploratory under the sparse denominator</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No global VF association remains significant after FDR correction.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Explain nominal screening versus participant-aware model evidence; point to the safe-claim box.</w:t>
            </w:r>
          </w:p>
        </w:tc>
      </w:tr>
    </w:tbl>
    <w:p/>
    <w:p>
      <w:pPr>
        <w:pStyle w:val="Heading2"/>
      </w:pPr>
      <w:r>
        <w:t>Speaker Script</w:t>
      </w:r>
    </w:p>
    <w:p>
      <w:r>
        <w:t>This is the first clinical-status application. The model-ready clinical overlay contains 556 episodes: 17 UTI and 539 Not_UTI. That imbalance is the central reason for caution.</w:t>
      </w:r>
    </w:p>
    <w:p>
      <w:r>
        <w:t>The figure compares exploratory gene screening with participant-aware modelling. Some genes may look interesting nominally, but the current safe conclusion is that no global VF association remains significant after FDR correction.</w:t>
      </w:r>
    </w:p>
    <w:p>
      <w:r>
        <w:t>So this slide should be used for hypothesis generation and for explaining uncertainty. It is not a claim that the pipeline has found a robust VF marker of symptomatic UTI.</w:t>
      </w:r>
    </w:p>
    <w:p>
      <w:pPr>
        <w:pStyle w:val="Heading3"/>
      </w:pPr>
      <w:r>
        <w:t>Emphasise</w:t>
      </w:r>
    </w:p>
    <w:p>
      <w:pPr>
        <w:pStyle w:val="ListBullet"/>
      </w:pPr>
      <w:r>
        <w:rPr>
          <w:rFonts w:ascii="Calibri" w:hAnsi="Calibri"/>
          <w:b w:val="0"/>
          <w:i w:val="0"/>
        </w:rPr>
        <w:t>17 UTI versus 539 Not_UTI in the VF/model-ready dataset.</w:t>
      </w:r>
    </w:p>
    <w:p>
      <w:pPr>
        <w:pStyle w:val="ListBullet"/>
      </w:pPr>
      <w:r>
        <w:rPr>
          <w:rFonts w:ascii="Calibri" w:hAnsi="Calibri"/>
          <w:b w:val="0"/>
          <w:i w:val="0"/>
        </w:rPr>
        <w:t>No global VF association survives FDR correction.</w:t>
      </w:r>
    </w:p>
    <w:p>
      <w:pPr>
        <w:pStyle w:val="ListBullet"/>
      </w:pPr>
      <w:r>
        <w:rPr>
          <w:rFonts w:ascii="Calibri" w:hAnsi="Calibri"/>
          <w:b w:val="0"/>
          <w:i w:val="0"/>
        </w:rPr>
        <w:t>Clinical overlay is exploratory.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mention older ASB-versus-UTI conclusions or significant lpf claims as current results.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makes the clinical overlay concrete with one participant transition.</w:t>
            </w:r>
          </w:p>
        </w:tc>
      </w:tr>
    </w:tbl>
    <w:p/>
    <w:p>
      <w:pPr>
        <w:pStyle w:val="Heading1"/>
      </w:pPr>
      <w:r>
        <w:t>Slide 15. Participant 20026 illustrates stable VF profile despite symptom emergence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A concrete transition shows symptoms can emerge without detectable VF gain.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Walk across the timeline, then the four green evidence tiles, then the two summary boxes.</w:t>
            </w:r>
          </w:p>
        </w:tc>
      </w:tr>
    </w:tbl>
    <w:p/>
    <w:p>
      <w:pPr>
        <w:pStyle w:val="Heading2"/>
      </w:pPr>
      <w:r>
        <w:t>Speaker Script</w:t>
      </w:r>
    </w:p>
    <w:p>
      <w:r>
        <w:t>Participant 20026 is a useful worked example because it links the abstract pipeline to a real longitudinal transition. The participant moves from Not_UTI to UTI over 42 days.</w:t>
      </w:r>
    </w:p>
    <w:p>
      <w:r>
        <w:t>The genomic and VF evidence shows 5 SNPs and a stable VF profile: zero VF genes gained and zero lost, with stable VF modules and strong same-strain evidence. That pattern supports the idea that symptom emergence does not always require a detectable VF repertoire change.</w:t>
      </w:r>
    </w:p>
    <w:p>
      <w:r>
        <w:t>At the casebook level, there are 11 clinical Not_UTI to UTI transitions, 10 WGS/VF-linked transitions, and one missing endpoint. Four transitions show same-strain stable profiles, while three are consistent with strain replacement. These buckets organise evidence. They do not prove mechanism.</w:t>
      </w:r>
    </w:p>
    <w:p>
      <w:r>
        <w:t>The careful interpretation is that low SNP distance plus stable VF profile supports host-state, expression, regulation, inoculum, or other unmeasured explanations, but it does not prove any one of them.</w:t>
      </w:r>
    </w:p>
    <w:p>
      <w:pPr>
        <w:pStyle w:val="Heading3"/>
      </w:pPr>
      <w:r>
        <w:t>Emphasise</w:t>
      </w:r>
    </w:p>
    <w:p>
      <w:pPr>
        <w:pStyle w:val="ListBullet"/>
      </w:pPr>
      <w:r>
        <w:rPr>
          <w:rFonts w:ascii="Calibri" w:hAnsi="Calibri"/>
          <w:b w:val="0"/>
          <w:i w:val="0"/>
        </w:rPr>
        <w:t>Not_UTI to UTI over 42 days.</w:t>
      </w:r>
    </w:p>
    <w:p>
      <w:pPr>
        <w:pStyle w:val="ListBullet"/>
      </w:pPr>
      <w:r>
        <w:rPr>
          <w:rFonts w:ascii="Calibri" w:hAnsi="Calibri"/>
          <w:b w:val="0"/>
          <w:i w:val="0"/>
        </w:rPr>
        <w:t>5 SNPs, stable VF profile, zero gains/losses.</w:t>
      </w:r>
    </w:p>
    <w:p>
      <w:pPr>
        <w:pStyle w:val="ListBullet"/>
      </w:pPr>
      <w:r>
        <w:rPr>
          <w:rFonts w:ascii="Calibri" w:hAnsi="Calibri"/>
          <w:b w:val="0"/>
          <w:i w:val="0"/>
        </w:rPr>
        <w:t>Support, not proof, of host-state or unmeasured-regulation hypotheses.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say stable VF proves host mechanism or symptom causality.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I’ll close the spoken section by separating what is established from what remains uncertain.</w:t>
            </w:r>
          </w:p>
        </w:tc>
      </w:tr>
    </w:tbl>
    <w:p/>
    <w:p>
      <w:pPr>
        <w:pStyle w:val="Heading1"/>
      </w:pPr>
      <w:r>
        <w:t>Slide 16. What this VF-first review establishes and what remains uncertain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Close with evidence, boundary, and next steps.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 three columns as the closing structure.</w:t>
            </w:r>
          </w:p>
        </w:tc>
      </w:tr>
    </w:tbl>
    <w:p/>
    <w:p>
      <w:pPr>
        <w:pStyle w:val="Heading2"/>
      </w:pPr>
      <w:r>
        <w:t>Speaker Script</w:t>
      </w:r>
    </w:p>
    <w:p>
      <w:r>
        <w:t>The evidence column is the firm ground: the current pipeline produces a coherent VF-ready longitudinal dataset with 556 isolate profiles, 227 VF gene columns, 32 modules, and 394 consecutive within-resident comparisons.</w:t>
      </w:r>
    </w:p>
    <w:p>
      <w:r>
        <w:t>The boundary column is equally important. VF presence/absence does not measure expression or activity, and clinical-status association remains exploratory because the UTI denominator is sparse.</w:t>
      </w:r>
    </w:p>
    <w:p>
      <w:r>
        <w:t>The next-step column is where a new colleague can contribute: lineage-aware longitudinal follow-up, expression or regulation hypotheses, and targeted review of transition case studies. The main discussion question is what additional evidence would distinguish stable carriage with host-state change from unmeasured bacterial regulation or replacement.</w:t>
      </w:r>
    </w:p>
    <w:p>
      <w:pPr>
        <w:pStyle w:val="Heading3"/>
      </w:pPr>
      <w:r>
        <w:t>Emphasise</w:t>
      </w:r>
    </w:p>
    <w:p>
      <w:pPr>
        <w:pStyle w:val="ListBullet"/>
      </w:pPr>
      <w:r>
        <w:rPr>
          <w:rFonts w:ascii="Calibri" w:hAnsi="Calibri"/>
          <w:b w:val="0"/>
          <w:i w:val="0"/>
        </w:rPr>
        <w:t>End on usable pipeline plus honest uncertainty.</w:t>
      </w:r>
    </w:p>
    <w:p>
      <w:pPr>
        <w:pStyle w:val="ListBullet"/>
      </w:pPr>
      <w:r>
        <w:rPr>
          <w:rFonts w:ascii="Calibri" w:hAnsi="Calibri"/>
          <w:b w:val="0"/>
          <w:i w:val="0"/>
        </w:rPr>
        <w:t>Invite discussion around next evidence, not around overclaiming current associations.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close as though the VF analysis has identified definitive UTI drivers.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From here, the appendix is available for operational handover and detailed questions.</w:t>
            </w:r>
          </w:p>
        </w:tc>
      </w:tr>
    </w:tbl>
    <w:p/>
    <w:p>
      <w:pPr>
        <w:sectPr>
          <w:pgSz w:w="12240" w:h="15840"/>
          <w:pgMar w:top="1080" w:right="1224" w:bottom="1080" w:left="1224" w:header="720" w:footer="720" w:gutter="0"/>
          <w:cols w:space="720"/>
          <w:docGrid w:linePitch="360"/>
        </w:sectPr>
      </w:pPr>
    </w:p>
    <w:p>
      <w:pPr>
        <w:pStyle w:val="Heading1"/>
      </w:pPr>
      <w:r>
        <w:t>Slides 17-25: Appendix / Q&amp;A Prompts</w:t>
      </w:r>
    </w:p>
    <w:p>
      <w:pPr>
        <w:pStyle w:val="Heading1"/>
      </w:pPr>
      <w:r>
        <w:t>Slide 17. Practical map: where to enter and rerun the VF pipeline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the colleague asks how to navigate the project or reproduce outputs.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These are current navigation anchors and rerun order, not new analysis results.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ask the colleague to start from old ASB scripts or legacy figures.</w:t>
            </w:r>
          </w:p>
        </w:tc>
      </w:tr>
    </w:tbl>
    <w:p/>
    <w:p>
      <w:pPr>
        <w:pStyle w:val="Heading2"/>
      </w:pPr>
      <w:r>
        <w:t>Speaker Script</w:t>
      </w:r>
    </w:p>
    <w:p>
      <w:r>
        <w:t>This is the handover slide. I would use it after the main talk, not during the core narrative unless the audience asks about reproducibility.</w:t>
      </w:r>
    </w:p>
    <w:p>
      <w:r>
        <w:t>The key message is that the colleague should start from the canonical VF dataset and diagnostics, then use the pipeline documentation and final figure pack to trace outputs. The final figure pack script is the entry point for current final figures; the VF and longitudinal outputs are the sources of truth for pipeline-specific questions.</w:t>
      </w:r>
    </w:p>
    <w:p>
      <w:pPr>
        <w:pStyle w:val="Heading1"/>
      </w:pPr>
      <w:r>
        <w:t>Slide 18. Clinical phenotype denominator and definition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asks how UTI and Not_UTI were defined.</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UTI_Status is current UTI versus Not_UTI; it is not the older ASB-versus-UTI storyline.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treat Not_UTI as a single biologically uniform state.</w:t>
            </w:r>
          </w:p>
        </w:tc>
      </w:tr>
    </w:tbl>
    <w:p/>
    <w:p>
      <w:pPr>
        <w:pStyle w:val="Heading2"/>
      </w:pPr>
      <w:r>
        <w:t>Speaker Script</w:t>
      </w:r>
    </w:p>
    <w:p>
      <w:r>
        <w:t>This appendix slide explains the clinical annotation layer. It shows the validated clinical denominator: 583 primary clinical episodes, with 18 UTI and 565 Not_UTI.</w:t>
      </w:r>
    </w:p>
    <w:p>
      <w:r>
        <w:t>The clinical rule is catheter-aware and symptom-supported, with culture support. The important framing is that Not_UTI is heterogeneous: it can include culture-supported bacteriuria without compatible symptoms and other non-UTI states. In this VF-first deck, this status layer is used later as an exploratory annotation.</w:t>
      </w:r>
    </w:p>
    <w:p>
      <w:pPr>
        <w:pStyle w:val="Heading1"/>
      </w:pPr>
      <w:r>
        <w:t>Slide 19. Module prevalence by status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for questions about whether module prevalence differs by UTI_Status.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Exploratory clinical annotation only.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call module differences validated UTI signatures.</w:t>
            </w:r>
          </w:p>
        </w:tc>
      </w:tr>
    </w:tbl>
    <w:p/>
    <w:p>
      <w:pPr>
        <w:pStyle w:val="Heading2"/>
      </w:pPr>
      <w:r>
        <w:t>Speaker Script</w:t>
      </w:r>
    </w:p>
    <w:p>
      <w:r>
        <w:t>This plot gives module prevalence by clinical annotation. It is useful for visual pattern recognition, but the label is exploratory for a reason.</w:t>
      </w:r>
    </w:p>
    <w:p>
      <w:r>
        <w:t>The safe interpretation is that modules can be compared descriptively across UTI and Not_UTI episodes, but sparse UTI counts, repeated measures, and lineage structure prevent strong clinical conclusions from this slide alone.</w:t>
      </w:r>
    </w:p>
    <w:p>
      <w:pPr>
        <w:pStyle w:val="Heading1"/>
      </w:pPr>
      <w:r>
        <w:t>Slide 20. Full transition mechanism casebook</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wants to inspect all Not_UTI to UTI transition categories.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11 clinical transitions, 10 WGS/VF-linked, with stable-profile and replacement-consistent categories.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imply that every transition has a single settled biological mechanism.</w:t>
            </w:r>
          </w:p>
        </w:tc>
      </w:tr>
    </w:tbl>
    <w:p/>
    <w:p>
      <w:pPr>
        <w:pStyle w:val="Heading2"/>
      </w:pPr>
      <w:r>
        <w:t>Speaker Script</w:t>
      </w:r>
    </w:p>
    <w:p>
      <w:r>
        <w:t>This is the aggregate transition casebook. It summarises clinical Not_UTI to UTI transitions and the genomic/VF evidence attached to them.</w:t>
      </w:r>
    </w:p>
    <w:p>
      <w:r>
        <w:t>Use it to show that transitions are heterogeneous. Some are consistent with same-strain stable-profile transitions, some with replacement, and some remain less certain. The purpose is evidence organisation, not mechanism proof.</w:t>
      </w:r>
    </w:p>
    <w:p>
      <w:pPr>
        <w:pStyle w:val="Heading1"/>
      </w:pPr>
      <w:r>
        <w:t>Slide 21. Stable strain and changing clinical state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asks how low SNP distance and stable VF relate to symptom emergence.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Stable measured profiles support alternative hypotheses; they do not prove them.</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say host state is proven.</w:t>
            </w:r>
          </w:p>
        </w:tc>
      </w:tr>
    </w:tbl>
    <w:p/>
    <w:p>
      <w:pPr>
        <w:pStyle w:val="Heading2"/>
      </w:pPr>
      <w:r>
        <w:t>Speaker Script</w:t>
      </w:r>
    </w:p>
    <w:p>
      <w:r>
        <w:t>This slide expands the idea shown in participant 20026. It illustrates cases where low SNP distance and stable measured VF profile coexist with changing clinical state.</w:t>
      </w:r>
    </w:p>
    <w:p>
      <w:r>
        <w:t>The interpretive value is that symptoms can change even when the measured VF repertoire does not. That points to host context, regulation, expression, inoculum, tissue state, or other unmeasured factors as plausible follow-up hypotheses.</w:t>
      </w:r>
    </w:p>
    <w:p>
      <w:pPr>
        <w:pStyle w:val="Heading1"/>
      </w:pPr>
      <w:r>
        <w:t>Slide 22. Population-level robustness boundary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for statistical robustness questions about the global VF overlay.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No adjusted VF association is confirmatory with only 17 VF-ready UTI episodes.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overinterpret nominal effects.</w:t>
            </w:r>
          </w:p>
        </w:tc>
      </w:tr>
    </w:tbl>
    <w:p/>
    <w:p>
      <w:pPr>
        <w:pStyle w:val="Heading2"/>
      </w:pPr>
      <w:r>
        <w:t>Speaker Script</w:t>
      </w:r>
    </w:p>
    <w:p>
      <w:r>
        <w:t>This slide reinforces the population-level boundary. The analysis is underpowered for robust clinical-status association because there are only 17 VF-ready UTI episodes.</w:t>
      </w:r>
    </w:p>
    <w:p>
      <w:r>
        <w:t>Use the slide to explain why the deck presents population-level VF findings as exploratory and why no global VF signal should be treated as confirmatory after FDR correction.</w:t>
      </w:r>
    </w:p>
    <w:p>
      <w:pPr>
        <w:pStyle w:val="Heading1"/>
      </w:pPr>
      <w:r>
        <w:t>Slide 23. Lineage structure is an interpretation check</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asks about population structure or confounding by lineage.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Diagnostic/descriptive lineage context.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use the PCoA as a disease-association result.</w:t>
            </w:r>
          </w:p>
        </w:tc>
      </w:tr>
    </w:tbl>
    <w:p/>
    <w:p>
      <w:pPr>
        <w:pStyle w:val="Heading2"/>
      </w:pPr>
      <w:r>
        <w:t>Speaker Script</w:t>
      </w:r>
    </w:p>
    <w:p>
      <w:r>
        <w:t>This PCoA is a diagnostic view of VF profile structure by sequence type. It reminds us that VF profiles are not randomly distributed across isolates; they are shaped by lineage.</w:t>
      </w:r>
    </w:p>
    <w:p>
      <w:r>
        <w:t>That matters because a clinical-status comparison can be confounded by lineage composition. The correct use is diagnostic: lineage structure needs to be considered before clinical interpretation.</w:t>
      </w:r>
    </w:p>
    <w:p>
      <w:pPr>
        <w:pStyle w:val="Heading1"/>
      </w:pPr>
      <w:r>
        <w:t>Slide 24. AMR backup only: exploratory transition-level ResFinder context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only if asked about AMR or accessory/plasmid changes.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Exploratory transition-level context only.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claim global AMR association or integrate AMR as a primary spoken result.</w:t>
            </w:r>
          </w:p>
        </w:tc>
      </w:tr>
    </w:tbl>
    <w:p/>
    <w:p>
      <w:pPr>
        <w:pStyle w:val="Heading2"/>
      </w:pPr>
      <w:r>
        <w:t>Speaker Script</w:t>
      </w:r>
    </w:p>
    <w:p>
      <w:r>
        <w:t>This is intentionally an appendix-only backup. ResFinder and accessory/plasmid context can help describe individual transitions, but the current deck does not present a completed global VF-plus-AMR association analysis.</w:t>
      </w:r>
    </w:p>
    <w:p>
      <w:r>
        <w:t>If asked, say that AMR is useful context for transition-level interpretation, but it should not be elevated to a primary result in this VF pipeline review.</w:t>
      </w:r>
    </w:p>
    <w:p>
      <w:pPr>
        <w:pStyle w:val="Heading1"/>
      </w:pPr>
      <w:r>
        <w:t>Slide 25. Sources of truth and lookup resources for questions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at the end or during Q&amp;A when someone asks where a number, figure, or caveat comes from.</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these files to verify provenance and avoid stale claims.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use backup diagnostics to create new claims during the presentation.</w:t>
            </w:r>
          </w:p>
        </w:tc>
      </w:tr>
    </w:tbl>
    <w:p/>
    <w:p>
      <w:pPr>
        <w:pStyle w:val="Heading2"/>
      </w:pPr>
      <w:r>
        <w:t>Speaker Script</w:t>
      </w:r>
    </w:p>
    <w:p>
      <w:r>
        <w:t>This is the evidence registry. It points the colleague to the count validation files, denominator flow, VF diagnostics, WGS registry, longitudinal summaries, module notes, casebook, and phenotype explanation.</w:t>
      </w:r>
    </w:p>
    <w:p>
      <w:r>
        <w:t>The most important handover message is that questions should be answered from current sources of truth rather than from older exploratory slides or superseded analyses.</w:t>
      </w:r>
    </w:p>
    <w:p>
      <w:pPr>
        <w:pStyle w:val="Heading1"/>
      </w:pPr>
      <w:r>
        <w:t>Final 30-Second Close</w:t>
      </w:r>
    </w:p>
    <w:p>
      <w:r>
        <w:t>If I had to compress the whole deck into one message, I would say: this project now has a current, navigable VF pipeline for longitudinal urinary E. coli isolates. The strongest descriptive signal is within-resident VF profile stability. The clinical overlay is useful for generating hypotheses, especially around symptom emergence without detectable VF gain, but it remains exploratory because the UTI denominator is sparse.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B6CB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