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rFonts w:ascii="Calibri" w:hAnsi="Calibri"/>
          <w:b/>
          <w:color w:val="1F4D78"/>
          <w:sz w:val="18"/>
        </w:rPr>
        <w:t>LONGCYCLER-ONLY REFERENCE GUIDE</w:t>
      </w:r>
    </w:p>
    <w:p>
      <w:pPr>
        <w:pStyle w:val="Title"/>
        <w:keepNext/>
      </w:pPr>
      <w:r>
        <w:t>Codebook for vf_analysis_ready.csv</w:t>
      </w:r>
    </w:p>
    <w:p>
      <w:pPr>
        <w:pStyle w:val="Subtitle"/>
      </w:pPr>
      <w:r>
        <w:t>Virulence-factor, sequence-type, and operational clinical fields</w:t>
      </w:r>
    </w:p>
    <w:p>
      <w:r>
        <w:t>Scope: selected QC-passing Longcycler only; operational UTI phenotype. Interpretation: exploratory observational analysis; no causal claim.</w:t>
      </w:r>
    </w:p>
    <w:p>
      <w:r>
        <w:t>Claim registry: results/pipeline/longcycler_release_claim_registry.json | SHA-256: 87f65979259a4c92545afbb74b5d3a8efffb8a3d18cd2481df165b97e5c6d30e</w:t>
      </w:r>
    </w:p>
    <w:p>
      <w:pPr>
        <w:spacing w:after="160"/>
        <w:pBdr>
          <w:bottom w:val="single" w:sz="8" w:space="1" w:color="2E74B5"/>
        </w:pBdr>
      </w:pPr>
    </w:p>
    <w:p>
      <w:r>
        <w:t>Audience: people who need to understand and use the dataset without reading the R scripts.</w:t>
      </w:r>
    </w:p>
    <w:p>
      <w:r>
        <w:t>Dataset summarized: vf_analysis_ready.csv. Current file has 532 rows, 309 columns, and 227 individual virulence-factor gene columns.</w:t>
      </w:r>
    </w:p>
    <w:p>
      <w:r>
        <w:t>Codebook verified against the current primary analysis files: 15 July 2026.</w:t>
      </w:r>
    </w:p>
    <w:p>
      <w:r>
        <w:t>Best merge key: Episode_ID. If that is not available in another dataset, use Participant_id plus tp_lab and check carefully for duplicates.</w:t>
      </w:r>
    </w:p>
    <w:p>
      <w:pPr>
        <w:pStyle w:val="Heading1"/>
      </w:pPr>
      <w:r>
        <w:t>Overview</w:t>
      </w:r>
    </w:p>
    <w:p>
      <w:r>
        <w:t>This file is an episode-level table. Each row represents one E. coli isolate/episode linked to a participant and a timepoint. The table combines genome-screening results, sequence type, clinical classification, culture/symptom evidence, and summary counts.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D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D78"/>
              </w:rPr>
              <w:t>Plain-language reading rule</w:t>
            </w:r>
          </w:p>
          <w:p>
            <w:pPr>
              <w:spacing w:after="0"/>
            </w:pPr>
            <w:r>
              <w:t>Start with the identifier columns to see who and when the row is from. Then read the VF gene columns as detected/not detected, the ST columns as bacterial lineage information, and the status columns as the clinical UTI/Not_UTI interpretation.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D78"/>
              </w:rPr>
              <w:t>Interpretation boundary</w:t>
            </w:r>
          </w:p>
          <w:p>
            <w:pPr>
              <w:spacing w:after="0"/>
            </w:pPr>
            <w:r>
              <w:t>UTI/Not_UTI is the registry-defined operational phenotype: versioned operational culture-plus-compatible-symptom phenotype; not a reconstruction of the full published protocol. This selected Longcycler-only analysis is exploratory and observational; it supports no causal claim. Historical clinical source fields are audit/context only and must not replace the operational phenotype.</w:t>
            </w:r>
          </w:p>
        </w:tc>
      </w:tr>
    </w:tbl>
    <w:p>
      <w:pPr>
        <w:pStyle w:val="Heading2"/>
      </w:pPr>
      <w:r>
        <w:t>Quick Start: What To Use For Analysis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5"/>
        <w:gridCol w:w="2683"/>
        <w:gridCol w:w="4992"/>
      </w:tblGrid>
      <w:tr>
        <w:trPr>
          <w:cantSplit/>
          <w:tblHeader w:val="true"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Need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Use this column/file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How to explain it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Main datafile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vf_analysis_ready.csv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this as the main analysis file because it already combines episode identifiers, ST calls, VF genes, clinical status, culture/symptom fields, and VF summary counts.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Best merge key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Episode_ID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Safest single field for merging with another episode-level dataset.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Backup merge key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Participant_id + tp_lab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only if Episode_ID is not available in the other dataset; check duplicates and dates carefully.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Sequence type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Final sequence type used in the analysis. ST means bacterial lineage label.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 provenance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ST_source; provider_PercGoodTargets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 calls meeting the registry-bound 95% quality minimum were preferred. Current sources: 472 provider, 21 labelled local fallback, and 39 missing.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Clinical grouping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UTI_Status or Primary_Status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the operational UTI versus Not_UTI phenotype (16 UTI and 516 Not_UTI). Historical source fields are audit/context only.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Individual VF genes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Gene-name columns in Appendix B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Each uses 1 = detected and 0 = not detected after ABRicate/VFDB screening at &gt;=80% identity and &gt;=80% coverage.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VF summaries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vf_count_total and cat_* columns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only as descriptive counts overall and by gene_map.csv categories; they are not validated severity scores.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Heatmap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variable_gene_heatmap.png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Visual summary only. Do not extract or merge data from the image; use vf_analysis_ready.csv.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Main cautions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Interpret with caveats</w:t>
            </w:r>
          </w:p>
        </w:tc>
        <w:tc>
          <w:tcPr>
            <w:tcW w:type="dxa" w:w="49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Detected does not mean active or expressed; missing ST means no usable ST call; VF counts are descriptive and not a validated severity score.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D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b/>
                <w:color w:val="1F4D78"/>
              </w:rPr>
              <w:t>Current dataset-specific status context</w:t>
            </w:r>
          </w:p>
          <w:p>
            <w:pPr>
              <w:spacing w:after="0"/>
            </w:pPr>
            <w:r>
              <w:t>All 532 rows in this selected VF-ready subset meet the registry-bound culture rule (lower bound 1,000 CFU/mL). The operational phenotype classifies 16 as UTI and 516 as Not_UTI from compatible-symptom evidence. Not_UTI here does not mean culture-negative.</w:t>
            </w:r>
          </w:p>
        </w:tc>
      </w:tr>
    </w:tbl>
    <w:p>
      <w:pPr>
        <w:pStyle w:val="Heading2"/>
      </w:pPr>
      <w:r>
        <w:t>How this file was produced</w:t>
      </w:r>
    </w:p>
    <w:p>
      <w:pPr>
        <w:pStyle w:val="ListBullet"/>
      </w:pPr>
      <w:r>
        <w:t>One canonical E. coli assembly was selected for each included participant-timepoint/episode after genomics QC.</w:t>
      </w:r>
    </w:p>
    <w:p>
      <w:pPr>
        <w:pStyle w:val="ListBullet"/>
      </w:pPr>
      <w:r>
        <w:t>ABRicate screened each selected assembly against VFDB using &gt;=80% identity and &gt;=80% coverage.</w:t>
      </w:r>
    </w:p>
    <w:p>
      <w:pPr>
        <w:pStyle w:val="ListBullet"/>
      </w:pPr>
      <w:r>
        <w:t>Gene hits were collapsed to one binary value per episode: 1 = detected and 0 = not detected, producing vf_pa_all.csv.</w:t>
      </w:r>
    </w:p>
    <w:p>
      <w:pPr>
        <w:pStyle w:val="ListBullet"/>
      </w:pPr>
      <w:r>
        <w:t>The release pipeline joined the binary VF matrix to the operational clinical status map and provider-preferred MLST table.</w:t>
      </w:r>
    </w:p>
    <w:p>
      <w:pPr>
        <w:pStyle w:val="ListBullet"/>
      </w:pPr>
      <w:r>
        <w:t>Provider ST calls meeting the registry-bound 95% quality minimum were preferred; local MLST was used only as an explicitly labelled fallback.</w:t>
      </w:r>
    </w:p>
    <w:p>
      <w:pPr>
        <w:pStyle w:val="ListBullet"/>
      </w:pPr>
      <w:r>
        <w:t>The final step added VF totals, simple gene_map.csv category counts, provenance fields, and QC/curation fields to create vf_analysis_ready.csv.</w:t>
      </w:r>
    </w:p>
    <w:p>
      <w:pPr>
        <w:pStyle w:val="Heading2"/>
      </w:pPr>
      <w:r>
        <w:t>The three most important ideas</w:t>
      </w:r>
    </w:p>
    <w:p>
      <w:pPr>
        <w:pStyle w:val="ListBullet"/>
      </w:pPr>
      <w:r>
        <w:t>A VF feature value of 1 means it was detected at &gt;=80% identity and &gt;=80% coverage. A value of 0 means it was not detected at those thresholds.</w:t>
      </w:r>
    </w:p>
    <w:p>
      <w:pPr>
        <w:pStyle w:val="ListBullet"/>
      </w:pPr>
      <w:r>
        <w:t>ST means sequence type, a bacterial lineage label. It helps compare isolates, but it does not by itself prove that two isolates are the same strain.</w:t>
      </w:r>
    </w:p>
    <w:p>
      <w:pPr>
        <w:pStyle w:val="ListBullet"/>
      </w:pPr>
      <w:r>
        <w:t>Primary_Status and UTI_Status encode the operational phenotype. Historical clinical source fields are retained only for audit/context.</w:t>
      </w:r>
    </w:p>
    <w:p>
      <w:pPr>
        <w:pStyle w:val="Heading2"/>
      </w:pPr>
      <w:r>
        <w:t>Snapshot of the current 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Current value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Codebook verification date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15 July 2026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Claim-registry SHA-256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87f65979259a4c92545afbb74b5d3a8efffb8a3d18cd2481df165b97e5c6d30e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Analytical scope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selected QC-passing Longcycler only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Diagnostics timestamp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2026-07-14 17:03:25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Rows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532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Participants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161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VF gene columns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227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Primary UTI rows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Primary Not_UTI rows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516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Rows with ST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493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Rows without ST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Distinct STs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76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 source breakdown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provider_qc95=472; local fallback=21; missing=39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Status rows not in VF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51 (episodes without sequenced VF data)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Genes in matrix not in gene_map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64 (counted in cat_Unassigned_matrix)</w:t>
            </w:r>
          </w:p>
        </w:tc>
      </w:tr>
    </w:tbl>
    <w:p>
      <w:pPr>
        <w:pStyle w:val="Heading1"/>
      </w:pPr>
      <w:r>
        <w:t>How to read one row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cantSplit/>
          <w:tblHeader w:val="true"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Question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How this example row reads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Participant and episode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Participant 100011, UTI-4, Episode_ID EP__100011__UTI-4__UTI_event__30_08_2024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Clinical status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UTI; reason: culture_supports_uti; symptom_rule=A_local_urinary_symptom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Sequence type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 6159; source: provider_qc95; provider good targets: 96.2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VF burden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58 total detected VF genes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Category examples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Adhesion/fimbriae: 9; toxins: 1; iron acquisition: 20</w:t>
            </w:r>
          </w:p>
        </w:tc>
      </w:tr>
    </w:tbl>
    <w:p>
      <w:r>
        <w:t>In words: this row is a UTI-event E. coli isolate from one participant/timepoint. It has an ST call, a measured VF gene profile, and clinical evidence supporting the primary UTI classification.</w:t>
      </w:r>
    </w:p>
    <w:p>
      <w:pPr>
        <w:pStyle w:val="Heading1"/>
      </w:pPr>
      <w:r>
        <w:t>Column groups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10"/>
        <w:gridCol w:w="4056"/>
        <w:gridCol w:w="3494"/>
      </w:tblGrid>
      <w:tr>
        <w:trPr>
          <w:cantSplit/>
          <w:tblHeader w:val="true"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Column group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What it contains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How to use it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Identifier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Columns that tell you who, when, and which episode the row belongs to.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Episode_ID for merging where possible.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VF gene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Individual feature columns from the ABRicate/VFDB screen.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= not detected; 1 = detected at &gt;=80% identity and &gt;=80% coverage.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ST/MLST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Sequence type and where the sequence type call came from.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 is lineage context, not a same-strain proof.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Clinical status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Registry-bound operational UTI/Not_UTI phenotype.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 UTI_Status or Primary_Status; historical source fields are audit/context only.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Clinical audit/context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Historical clinical source fields retained for traceability.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Do not use these fields as analytical phenotypes.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Culture/symptoms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Culture count, symptom, catheter, and clinical rule fields.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These explain why a row was called UTI or Not_UTI.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VF summary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Counts of detected genes overall and by biological category.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Useful for summaries; not a validated severity score.</w:t>
            </w:r>
          </w:p>
        </w:tc>
      </w:tr>
      <w:tr>
        <w:trPr>
          <w:cantSplit/>
        </w:trPr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QC/curation</w:t>
            </w:r>
          </w:p>
        </w:tc>
        <w:tc>
          <w:tcPr>
            <w:tcW w:type="dxa" w:w="40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Inclusion, duplicate, and manual-curation fields.</w:t>
            </w:r>
          </w:p>
        </w:tc>
        <w:tc>
          <w:tcPr>
            <w:tcW w:type="dxa" w:w="34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Mostly audit fields; blanks often mean not applicable.</w:t>
            </w:r>
          </w:p>
        </w:tc>
      </w:tr>
    </w:tbl>
    <w:p>
      <w:pPr>
        <w:pStyle w:val="Heading1"/>
      </w:pPr>
      <w:r>
        <w:t>Value legend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cantSplit/>
          <w:tblHeader w:val="true"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Plain-English 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0 in a VF gene column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Feature was not detected at the registry-bound &gt;=80% identity and &gt;=80% coverage.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1 in a VF gene column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Feature was detected by ABRicate/VFDB at &gt;=80% identity and &gt;=80% coverage.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UTI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Primary clinical rule classified this episode as UTI.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Not_UTI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Primary clinical rule did not classify this episode as UTI. In this VF-ready subset, this means culture-supported bacteriuria without a compatible symptom rule, not a negative culture.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1 in UTI_binary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The row is classified as UTI.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0 in UTI_binary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The row is classified as Not_UTI.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Historical clinical source values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Audit/context only; they are not alternative analytical phenotype labels.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provider_qc95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Provider ST call used after meeting the registry-bound 95% quality minimum.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local_fallback_provider_missing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Local MLST was used because no provider ST met the QC95 promotion threshold; any below-threshold provider call is retained in separate provenance fields.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missing ST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No usable sequence type call was available.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TRUE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Yes, condition met, recorded, or included.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FALSE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No, condition not met, not recorded, or not included.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blank/NA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Usually not recorded, unavailable, or not applicable; exact meaning depends on the column.</w:t>
            </w:r>
          </w:p>
        </w:tc>
      </w:tr>
    </w:tbl>
    <w:p>
      <w:pPr>
        <w:pStyle w:val="Heading1"/>
      </w:pPr>
      <w:r>
        <w:t>Important caveats</w:t>
      </w:r>
    </w:p>
    <w:p>
      <w:pPr>
        <w:pStyle w:val="ListBullet"/>
      </w:pPr>
      <w:r>
        <w:t>Detected does not mean the feature is expressed or causing disease; it only means the sequence was found at &gt;=80% identity and &gt;=80% coverage.</w:t>
      </w:r>
    </w:p>
    <w:p>
      <w:pPr>
        <w:pStyle w:val="ListBullet"/>
      </w:pPr>
      <w:r>
        <w:t>Not detected does not prove absolute absence; it means the gene was not found at those thresholds.</w:t>
      </w:r>
    </w:p>
    <w:p>
      <w:pPr>
        <w:pStyle w:val="ListBullet"/>
      </w:pPr>
      <w:r>
        <w:t>ST helps describe bacterial lineage. Same ST can support similarity, but it does not prove same strain by itself.</w:t>
      </w:r>
    </w:p>
    <w:p>
      <w:pPr>
        <w:pStyle w:val="ListBullet"/>
      </w:pPr>
      <w:r>
        <w:t>Category counts such as cat_Toxins and cat_Adhesion_Fimbriae are descriptive counts, not proven virulence severity scores.</w:t>
      </w:r>
    </w:p>
    <w:p>
      <w:pPr>
        <w:pStyle w:val="ListBullet"/>
      </w:pPr>
      <w:r>
        <w:t>The cat_* columns and total_vf_count_curated are descriptive gene_map.csv groupings; they are not validated severity scores.</w:t>
      </w:r>
    </w:p>
    <w:p>
      <w:pPr>
        <w:pStyle w:val="ListBullet"/>
      </w:pPr>
      <w:r>
        <w:t>cat_Unassigned counts genes that are present in gene_map.csv but labelled Unassigned. cat_Unassigned_matrix and total_vf_count_unassigned count genes absent from gene_map.csv.</w:t>
      </w:r>
    </w:p>
    <w:p>
      <w:pPr>
        <w:pStyle w:val="ListBullet"/>
      </w:pPr>
      <w:r>
        <w:t>low_confidence_count is a zero-filled audit/context placeholder and is not an analytical endpoint.</w:t>
      </w:r>
    </w:p>
    <w:p>
      <w:pPr>
        <w:pStyle w:val="ListBullet"/>
      </w:pPr>
      <w:r>
        <w:t>Repeated rows from the same participant are related observations, so they should not be treated as fully independent in statistical analyses.</w:t>
      </w:r>
    </w:p>
    <w:p>
      <w:pPr>
        <w:pStyle w:val="Heading1"/>
      </w:pPr>
      <w:r>
        <w:t>Major column groups in plain language</w:t>
      </w:r>
    </w:p>
    <w:p>
      <w:pPr>
        <w:pStyle w:val="Heading2"/>
      </w:pPr>
      <w:r>
        <w:t>Identifiers</w:t>
      </w:r>
    </w:p>
    <w:p>
      <w:r>
        <w:t>Use these first. They tell you which person, timepoint, episode, date, and batch the row describes.</w:t>
      </w:r>
    </w:p>
    <w:p>
      <w:pPr>
        <w:pStyle w:val="Heading2"/>
      </w:pPr>
      <w:r>
        <w:t>VF gene columns</w:t>
      </w:r>
    </w:p>
    <w:p>
      <w:r>
        <w:t>These are the many feature columns near the start of the file. Each records detection by ABRicate/VFDB at &gt;=80% identity and &gt;=80% coverage.</w:t>
      </w:r>
    </w:p>
    <w:p>
      <w:pPr>
        <w:pStyle w:val="Heading2"/>
      </w:pPr>
      <w:r>
        <w:t>ST/MLST columns</w:t>
      </w:r>
    </w:p>
    <w:p>
      <w:r>
        <w:t>These describe the sequence type and where the ST came from. ST is useful lineage context, especially when comparing isolates across time.</w:t>
      </w:r>
    </w:p>
    <w:p>
      <w:pPr>
        <w:pStyle w:val="Heading2"/>
      </w:pPr>
      <w:r>
        <w:t>Clinical/status columns</w:t>
      </w:r>
    </w:p>
    <w:p>
      <w:r>
        <w:t>UTI_Status and Primary_Status encode the operational phenotype. Historical clinical source fields are audit/context only.</w:t>
      </w:r>
    </w:p>
    <w:p>
      <w:pPr>
        <w:pStyle w:val="Heading2"/>
      </w:pPr>
      <w:r>
        <w:t>Culture and symptoms</w:t>
      </w:r>
    </w:p>
    <w:p>
      <w:r>
        <w:t>These fields explain the clinical logic: urine collection method, catheter rule, symptoms, culture count thresholds, and whether culture supported UTI.</w:t>
      </w:r>
    </w:p>
    <w:p>
      <w:pPr>
        <w:pStyle w:val="Heading2"/>
      </w:pPr>
      <w:r>
        <w:t>VF summaries</w:t>
      </w:r>
    </w:p>
    <w:p>
      <w:r>
        <w:t>These columns count detected features overall and within gene_map.csv groupings. They are descriptive and not validated severity scores.</w:t>
      </w:r>
    </w:p>
    <w:p>
      <w:pPr>
        <w:pStyle w:val="Heading2"/>
      </w:pPr>
      <w:r>
        <w:t>QC and curation</w:t>
      </w:r>
    </w:p>
    <w:p>
      <w:r>
        <w:t>These fields document whether rows were included, excluded, duplicated, manually curated, or bridged between clinical and WGS labels.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Appendix A: non-gene header reference</w:t>
      </w:r>
    </w:p>
    <w:p>
      <w:r>
        <w:t>This appendix lists the non-gene headers in vf_analysis_ready.csv. Individual VF gene columns are separated into Appendix B so the lookup tables stay readable.</w:t>
      </w:r>
    </w:p>
    <w:p>
      <w:pPr>
        <w:pStyle w:val="Heading2"/>
      </w:pPr>
      <w:r>
        <w:t>Identifier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36"/>
        <w:gridCol w:w="1019"/>
        <w:gridCol w:w="2873"/>
        <w:gridCol w:w="3012"/>
        <w:gridCol w:w="1020"/>
      </w:tblGrid>
      <w:tr>
        <w:trPr>
          <w:cantSplit/>
          <w:tblHeader w:val="true"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Header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Group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Plain English meaning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How to read filled-in values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Source / note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Participant_id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Identifier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Study participant identifier. This tells you which resident/person the row belongs to.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20011 (8), 20031 (8), 20043 (8), 31035 (8), 80015 (8).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metadata/status map and used to identify or merge rows.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tp_lab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Identifier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Timepoint label. Routine visits use labels such as T0, T1, and T2. UTI-related event samples use labels such as UTI-1.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T0 (95), T1 (91), T2 (75), T3 (75), T4 (69).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metadata/status map and used to identify or merge rows.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Event_type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Identifier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the row is from a scheduled routine sample or a UTI-event sample.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Routine, UTI_event.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metadata/status map and used to identify or merge rows.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Collection_Date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Identifier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Date the urine sample or episode was collected, stored as day/month/year text.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02/09/2024 (16), 02/12/2024 (14), 02/09/2025 (13), 03/03/2025 (12), 22/05/2024 (11).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metadata/status map and used to identify or merge rows.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Batch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Identifier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Sequencing or recruitment batch number.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1, 2, 3, 4, 5, 6.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metadata/status map and used to identify or merge rows.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Episode_ID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Identifier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Unique episode identifier combining participant, timepoint/event type, and date. This is the safest single field to use for merging.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EP__100010__T0__Routine__11_04_2024 (1), EP__100010__T1__Routine__02_07_2024 (1), EP__100011__UTI-3__UTI_event__02_08_2024 (1), EP__100011__UTI-4__UTI_event__30_08_2024 (1), EP__100054__T0__Routine__11_04_2024 (1).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metadata/status map and used to identify or merge rows.</w:t>
            </w:r>
          </w:p>
        </w:tc>
      </w:tr>
    </w:tbl>
    <w:p>
      <w:r/>
    </w:p>
    <w:p>
      <w:pPr>
        <w:pStyle w:val="Heading2"/>
      </w:pPr>
      <w:r>
        <w:t>Clinical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36"/>
        <w:gridCol w:w="1019"/>
        <w:gridCol w:w="2873"/>
        <w:gridCol w:w="3012"/>
        <w:gridCol w:w="1020"/>
      </w:tblGrid>
      <w:tr>
        <w:trPr>
          <w:cantSplit/>
          <w:tblHeader w:val="true"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Header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Group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Plain English meaning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How to read filled-in values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Source / note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UTI_Status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status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Primary clinical classification used in the current analysis.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Not_UTI, UTI.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UTI_binary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status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Numeric version of UTI_Status: 1 = UTI and 0 = Not_UTI.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0, 1.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Not_UTI_subgroup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status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Subgroup label for rows that are Not_UTI.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bacteriuria_not_UTI. 16 blank(s): this subgroup is blank for rows classified as UTI.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Infection_Status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status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Current primary status label used by the VF-ready file.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Not_UTI, UTI.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UTI_definition_version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status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Name of the rule used to classify UTI versus Not_UTI.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catheter_adjusted_sns_cfu1e3_v1.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UTI_classification_confidence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status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Confidence level for the clinical classification.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High, Medium.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UTI_classification_reason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status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Plain reason the row was classified as UTI or Not_UTI.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culture_supports_uti; catheter-aware symptom rule not met, culture_supports_uti; symptom_rule=A_local_urinary_symptom, culture_supports_uti; symptom_rule=B_systemic_catheter.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Primary_Status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status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Same primary UTI/Not_UTI classification repeated for convenience.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Not_UTI, UTI.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</w:tbl>
    <w:p>
      <w:r/>
    </w:p>
    <w:p>
      <w:pPr>
        <w:pStyle w:val="Heading2"/>
      </w:pPr>
      <w:r>
        <w:t>Clinical audit/context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36"/>
        <w:gridCol w:w="1019"/>
        <w:gridCol w:w="2873"/>
        <w:gridCol w:w="3012"/>
        <w:gridCol w:w="1020"/>
      </w:tblGrid>
      <w:tr>
        <w:trPr>
          <w:cantSplit/>
          <w:tblHeader w:val="true"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Header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Group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Plain English meaning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How to read filled-in values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Source / note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Infection_Status_legacy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audit/context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Historical clinical source field retained for audit/context only; it is not an analytical phenotype.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ASB, Negative, UTI.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Infection_Status_old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audit/context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Historical clinical source field retained for audit/context only; it is not an analytical phenotype.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ASB, Negative, UTI.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Status_Confidence_epi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audit/context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Episode-level confidence from the clinical source data.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High, Low, Medium.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Sx_source_epi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audit/context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Where the symptom evidence came from.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Population, S&amp;S columns.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UTI_Label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Clinical audit/context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Original UTI label or identifier from source data when available.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109019 (1), 109008 (1), 119008 (1), 129004 (1), 129005 (1). 500 blank(s): not recorded, not applicable, or not available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</w:tbl>
    <w:p>
      <w:r/>
    </w:p>
    <w:p>
      <w:pPr>
        <w:pStyle w:val="Heading2"/>
      </w:pPr>
      <w:r>
        <w:t>Culture/symptoms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36"/>
        <w:gridCol w:w="1019"/>
        <w:gridCol w:w="2873"/>
        <w:gridCol w:w="3012"/>
        <w:gridCol w:w="1020"/>
      </w:tblGrid>
      <w:tr>
        <w:trPr>
          <w:cantSplit/>
          <w:tblHeader w:val="true"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Header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Group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Plain English meaning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How to read filled-in values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Source / note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Urine_collection_method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Human-readable urine collection method.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CAD, Inco, Katheter, Spontaan, Spontaan geloosd.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urine_collection_method_raw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Original urine collection method text from the source data.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CAD, Inco, Katheter, Spontaan, Spontaan geloosd.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urine_collection_method_norm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Standardized urine collection method used by the classification logic.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catheter, inco, spontaan_geloosd.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catheter_rule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Which symptom rule was used: non-catheter or indwelling-catheter logic.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A_non_indwelling, B_indwelling.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symptom_compatible_uti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recorded symptoms were compatible with the primary UTI rule.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symptom_rule_met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Specific symptom rule that was met, or that no symptom rule was met.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A_local_urinary_symptom, B_systemic_catheter, No_rule_met.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local_urinary_symptom_any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any local urinary symptom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systemic_symptom_any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any systemic symptom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flankpain_present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flank pain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dysuria_present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dysuria/painful urination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urgency_present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urinary urgency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frequency_present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urinary frequency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incontinence_present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incontinence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pus_present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pus/purulence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fever_present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fever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rigors_present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rigors/shaking chills were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delirium_present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delirium/confusion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suprapubic_pain_present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suprapubic pain was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other_sxs_present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other symptoms were recorded.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cfu_raw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Original culture count text.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10.000-100.000 bact/ml, 1000-10.000 bact/ml, meer dan 100.000 bact/ml. 14 blank(s): not recorded, not applicable, or not available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cfu_raw_parsed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Parsed culture count text used by the pipeline.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10.000-100.000 bact/ml, 1000-10.000 bact/ml, meer dan 100.000 bact/ml. 14 blank(s): not recorded, not applicable, or not available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cfu_ge_1e3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culture count was at least 1,000 CFU/mL.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TRUE. 14 blank(s): not recorded, not applicable, or not available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cfu_ge_1e4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culture count was at least 10,000 CFU/mL.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14 blank(s): not recorded, not applicable, or not available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cfu_ge_1e5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culture count was at least 100,000 CFU/mL.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FALSE, TRUE. 14 blank(s): not recorded, not applicable, or not available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culture_supports_uti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culture results met the primary culture-support rule. In this VF-ready file, all rows meet culture support; UTI versus Not_UTI is separated by symptom compatibility.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cfu_threshold_used_for_uti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 lower bound used by the operational phenotype: 1,000 CFU/mL.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1000.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cfu_threshold_source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How the culture threshold decision was derived.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beoord_plus1_fallback_1e3, beoord_plus2_fallback_1e4, beoord_plus3_fallback_1e5, cfu_ge_1e3_lower_bound.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beoord_cat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Culture/symptoms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Original laboratory assessment category ('beoordeling' in Dutch), when available.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+, ++, +++, ++;+++, +;++. 368 blank(s): not recorded, not applicable, or not available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the clinical status map and classification logic.</w:t>
            </w:r>
          </w:p>
        </w:tc>
      </w:tr>
    </w:tbl>
    <w:p>
      <w:r/>
    </w:p>
    <w:p>
      <w:pPr>
        <w:pStyle w:val="Heading2"/>
      </w:pPr>
      <w:r>
        <w:t>QC/curation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36"/>
        <w:gridCol w:w="1019"/>
        <w:gridCol w:w="2873"/>
        <w:gridCol w:w="3012"/>
        <w:gridCol w:w="1020"/>
      </w:tblGrid>
      <w:tr>
        <w:trPr>
          <w:cantSplit/>
          <w:tblHeader w:val="true"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Header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Group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Plain English meaning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How to read filled-in values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Source / note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analysis_include_primary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the episode is included in the primary analysis denominator.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analysis_exclusion_reason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Reason a row would be excluded from primary analysis.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All values are blank in the current file. 532 blank(s): usually not applicable because no exclusion, duplicate, or manual note was needed.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duplicate_role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this row is a duplicate or not.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not_duplicate.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duplicate_of_participant_id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If duplicate, the participant ID of the row it duplicates.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All values are blank in the current file. 532 blank(s): usually not applicable because no exclusion, duplicate, or manual note was needed.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duplicate_of_tp_lab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If duplicate, the timepoint label of the row it duplicates.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All values are blank in the current file. 532 blank(s): usually not applicable because no exclusion, duplicate, or manual note was needed.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allow_secondary_duplicate_qc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a secondary duplicate was allowed for QC review.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duplicate_use_note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Note explaining duplicate handling.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All values are blank in the current file. 532 blank(s): usually not applicable because no exclusion, duplicate, or manual note was needed.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genomics_expected_include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the genomics row is expected and eligible for genomic analysis.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TRUE.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genomics_exclusion_reason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Reason the genomics row would be excluded.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All values are blank in the current file. 532 blank(s): usually not applicable because no exclusion, duplicate, or manual note was needed.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manual_curation_applied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a manual curation rule was applied.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manual_curation_note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note describing manual curation, if any.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All values are blank in the current file. 532 blank(s): usually not applicable because no exclusion, duplicate, or manual note was needed.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manual_curation_source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Source of the manual curation decision.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All values are blank in the current file. 532 blank(s): usually not applicable because no exclusion, duplicate, or manual note was needed.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uricult_bridge_applied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QC/curation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a Uricult clinical event was bridged to a WGS row.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FALSE.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Carried from manual curation and analysis inclusion checks.</w:t>
            </w:r>
          </w:p>
        </w:tc>
      </w:tr>
    </w:tbl>
    <w:p>
      <w:r/>
    </w:p>
    <w:p>
      <w:pPr>
        <w:pStyle w:val="Heading2"/>
      </w:pPr>
      <w:r>
        <w:t>ST/MLST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36"/>
        <w:gridCol w:w="1019"/>
        <w:gridCol w:w="2873"/>
        <w:gridCol w:w="3012"/>
        <w:gridCol w:w="1020"/>
      </w:tblGrid>
      <w:tr>
        <w:trPr>
          <w:cantSplit/>
          <w:tblHeader w:val="true"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Header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Group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Plain English meaning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How to read filled-in values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Source / note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ST/MLST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Sequence type: a bacterial lineage label for the E. coli isolate. Blank means no usable ST call.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131 (60), 73 (50), 69 (36), 95 (30), 127 (27). 39 blank(s): no usable provider ST detail was available for those rows.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provider-preferred MLST output.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ST_source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ST/MLST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Where the sequence type came from, and whether the source passed the provider quality rule.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local_fallback_provider_missing, missing, provider_qc95.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provider-preferred MLST output.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ST_provider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ST/MLST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 from the provider/RIVM SeqSphere source when available.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131 (56), 73 (50), 69 (34), 95 (30), 127 (27). 60 blank(s): no usable provider ST detail was available for those rows.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provider-preferred MLST output.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ST_local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ST/MLST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 from the local mlst run. A dash means no local ST was available.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131 (59), - (51), 73 (50), 69 (36), 95 (29).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provider-preferred MLST output.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provider_PercGoodTargets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ST/MLST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Provider MLST quality measure: percentage of targets passing provider checks. The registry-bound minimum is 95%.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98.7 (37), 98.2 (24), 97.4 (22), 98.5 (21), 97.2 (20). 60 blank(s): no usable provider ST detail was available for those rows.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provider-preferred MLST output.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provider_file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ST/MLST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Provider MLST file(s) from which the ST call was obtained.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herhaling_wgMLST_Eco_BSR_+_MLST.csv, wgMLST-Eco-BSR_MLST_longcycler.csv, wgMLST_Eco_BSR_+_MLST.csv. 60 blank(s): no usable provider ST detail was available for those rows.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provider-preferred MLST output.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provider_batch_match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ST/MLST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Whether the provider MLST record matched the expected batch information.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TRUE. 60 blank(s): no usable provider ST detail was available for those rows.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provider-preferred MLST output.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provider_assembler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ST/MLST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Which assembler's provider MLST result contributed to the ST call.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longcycler. 60 blank(s): no usable provider ST detail was available for those rows.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Added from provider-preferred MLST output.</w:t>
            </w:r>
          </w:p>
        </w:tc>
      </w:tr>
    </w:tbl>
    <w:p>
      <w:r/>
    </w:p>
    <w:p>
      <w:pPr>
        <w:pStyle w:val="Heading2"/>
      </w:pPr>
      <w:r>
        <w:t>VF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36"/>
        <w:gridCol w:w="1019"/>
        <w:gridCol w:w="2873"/>
        <w:gridCol w:w="3012"/>
        <w:gridCol w:w="1020"/>
      </w:tblGrid>
      <w:tr>
        <w:trPr>
          <w:cantSplit/>
          <w:tblHeader w:val="true"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Header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Group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Plain English meaning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How to read filled-in values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Source / note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vf_count_total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Total number detected across all VF gene columns in this row.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83 (29), 84 (27), 50 (24), 75 (23), 86 (22).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all VF gene 0/1 columns.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total_vf_count_all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Same as vf_count_total: all VF genes detected.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83 (29), 84 (27), 50 (24), 75 (23), 86 (22).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all VF gene 0/1 columns.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total_vf_count_curated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detected among feature columns mapped in gene_map.csv; a descriptive count, not a validated score.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83 (30), 84 (27), 50 (25), 75 (23), 97 (23).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Derived sum of VF columns present in gene_map.csv.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total_vf_count_upec_candidate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Descriptive heuristic count of detected genes whose gene_map category/subcategory matched UPEC-relevant terms; this is not a validated score.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22 (40), 56 (26), 76 (26), 51 (25), 58 (23).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Derived heuristic gene_map category/subcategory term match.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total_vf_count_unassigned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detected among gene columns absent from gene_map.csv; it uses the same gene set as cat_Unassigned_matrix.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0, 1, 4, 44, 5, 6, 9.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VF columns absent from gene_map.csv.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low_confidence_count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Zero-filled audit/context placeholder. Do not use it as an analytical endpoint.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0.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Zero-filled audit/context placeholder; not an analytical endpoint.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cat_Adhesion_Fimbriae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of detected genes in the adhesion/fimbriae category.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9 (151), 18 (56), 20 (41), 27 (39), 10 (37).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VF columns in this gene_map.csv category.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cat_Unassigned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detected among genes present in gene_map.csv but explicitly assigned to the Unassigned category.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24 (100), 25 (92), 26 (86), 28 (43), 27 (43).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VF columns in this gene_map.csv category.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cat_Iron_acquisition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of detected genes in the iron acquisition category.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Text values. Most common in current file: 36 (215), 31 (79), 12 (54), 41 (49), 28 (30).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VF columns in this gene_map.csv category.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cat_Capsule_Surface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of detected genes in the capsule/surface category.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0, 1, 2, 3.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VF columns in this gene_map.csv category.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cat_Toxins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of detected genes in the toxin category.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0, 1, 2, 4, 5, 6, 7.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VF columns in this gene_map.csv category.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cat_Invasion_Evasion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of detected genes in the invasion/evasion category.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0, 1, 2.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VF columns in this gene_map.csv category.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cat_Unassigned_matrix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detected among VF gene columns absent from gene_map.csv; it uses the same gene set as total_vf_count_unassigned.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0, 1, 4, 44, 5, 6, 9.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Sum of VF columns absent from gene_map.csv.</w:t>
            </w:r>
          </w:p>
        </w:tc>
      </w:tr>
      <w:tr>
        <w:trPr>
          <w:cantSplit/>
        </w:trPr>
        <w:tc>
          <w:tcPr>
            <w:tcW w:type="dxa" w:w="14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n_timepoints</w:t>
            </w:r>
          </w:p>
        </w:tc>
        <w:tc>
          <w:tcPr>
            <w:tcW w:type="dxa" w:w="101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VF summary</w:t>
            </w:r>
          </w:p>
        </w:tc>
        <w:tc>
          <w:tcPr>
            <w:tcW w:type="dxa" w:w="28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Number of distinct timepoints available for this participant in the VF-ready data.</w:t>
            </w:r>
          </w:p>
        </w:tc>
        <w:tc>
          <w:tcPr>
            <w:tcW w:type="dxa" w:w="3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Values seen: 1, 2, 3, 4, 5, 6, 7, 8. No blanks in the current file.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Distinct tp_lab count per Participant_id.</w:t>
            </w:r>
          </w:p>
        </w:tc>
      </w:tr>
    </w:tbl>
    <w:p>
      <w:r/>
    </w:p>
    <w:p>
      <w:pPr>
        <w:pStyle w:val="Heading1"/>
      </w:pPr>
      <w:r>
        <w:t>Appendix B: VF gene category reference</w:t>
      </w:r>
    </w:p>
    <w:p>
      <w:r>
        <w:t>This table lists every individual virulence-factor feature exactly once, grouped using gene_map.csv. Each feature uses the same coding: 1 means detected by ABRicate/VFDB at &gt;=80% identity and &gt;=80% coverage; 0 means not detected at those thresholds. These are descriptive categories, not validated severity scores. Use Word's Find command to locate a specific feature name.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3"/>
        <w:gridCol w:w="1379"/>
        <w:gridCol w:w="6208"/>
      </w:tblGrid>
      <w:tr>
        <w:trPr>
          <w:cantSplit/>
          <w:tblHeader w:val="true"/>
        </w:trPr>
        <w:tc>
          <w:tcPr>
            <w:tcW w:type="dxa" w:w="1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Category</w:t>
            </w:r>
          </w:p>
        </w:tc>
        <w:tc>
          <w:tcPr>
            <w:tcW w:type="dxa" w:w="13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Number of VF gene columns</w:t>
            </w:r>
          </w:p>
        </w:tc>
        <w:tc>
          <w:tcPr>
            <w:tcW w:type="dxa" w:w="62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4"/>
              </w:rPr>
              <w:t>VF gene columns in this category</w:t>
            </w:r>
          </w:p>
        </w:tc>
      </w:tr>
      <w:tr>
        <w:trPr>
          <w:cantSplit/>
        </w:trPr>
        <w:tc>
          <w:tcPr>
            <w:tcW w:type="dxa" w:w="1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Adhesion/Fimbriae</w:t>
            </w:r>
          </w:p>
        </w:tc>
        <w:tc>
          <w:tcPr>
            <w:tcW w:type="dxa" w:w="13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48</w:t>
            </w:r>
          </w:p>
        </w:tc>
        <w:tc>
          <w:tcPr>
            <w:tcW w:type="dxa" w:w="62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afaA, afaB-I, afaC-I, afaD, afaE-I, afaE-V, draA, draD, draE2, draP, fimA, fimB, fimC, fimD, fimE, fimF, fimG, fimH, fimI, focA, focC, focD, focF, focG, focH, papA, papB, papC, papD, papE, papF, papG, papH, papI, papJ, papK, papX, sfaA, sfaB, sfaC, sfaD, sfaE, sfaF, sfaG, sfaH, sfaS, sfaX, sfaY</w:t>
            </w:r>
          </w:p>
        </w:tc>
      </w:tr>
      <w:tr>
        <w:trPr>
          <w:cantSplit/>
        </w:trPr>
        <w:tc>
          <w:tcPr>
            <w:tcW w:type="dxa" w:w="1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Iron acquisition</w:t>
            </w:r>
          </w:p>
        </w:tc>
        <w:tc>
          <w:tcPr>
            <w:tcW w:type="dxa" w:w="13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41</w:t>
            </w:r>
          </w:p>
        </w:tc>
        <w:tc>
          <w:tcPr>
            <w:tcW w:type="dxa" w:w="62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chuA, chuS, chuT, chuU, chuV, chuW, chuX, chuY, entA, entB, entC, entD, entE, entF, entS, fepA, fepB, fepC, fepD, fepG, fyuA, iroB, iroC, iroD, iroE, iroN, irp1, irp2, iucA, iucB, iucC, iucD, iutA, ybtA, ybtE, ybtP, ybtQ, ybtS, ybtT, ybtU, ybtX</w:t>
            </w:r>
          </w:p>
        </w:tc>
      </w:tr>
      <w:tr>
        <w:trPr>
          <w:cantSplit/>
        </w:trPr>
        <w:tc>
          <w:tcPr>
            <w:tcW w:type="dxa" w:w="1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Toxins</w:t>
            </w:r>
          </w:p>
        </w:tc>
        <w:tc>
          <w:tcPr>
            <w:tcW w:type="dxa" w:w="13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8</w:t>
            </w:r>
          </w:p>
        </w:tc>
        <w:tc>
          <w:tcPr>
            <w:tcW w:type="dxa" w:w="62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astA, cnf1, hlyA, hlyB, hlyC, hlyD, sat, vat</w:t>
            </w:r>
          </w:p>
        </w:tc>
      </w:tr>
      <w:tr>
        <w:trPr>
          <w:cantSplit/>
        </w:trPr>
        <w:tc>
          <w:tcPr>
            <w:tcW w:type="dxa" w:w="1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Capsule/Surface</w:t>
            </w:r>
          </w:p>
        </w:tc>
        <w:tc>
          <w:tcPr>
            <w:tcW w:type="dxa" w:w="13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3</w:t>
            </w:r>
          </w:p>
        </w:tc>
        <w:tc>
          <w:tcPr>
            <w:tcW w:type="dxa" w:w="62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kpsD, kpsM, kpsT</w:t>
            </w:r>
          </w:p>
        </w:tc>
      </w:tr>
      <w:tr>
        <w:trPr>
          <w:cantSplit/>
        </w:trPr>
        <w:tc>
          <w:tcPr>
            <w:tcW w:type="dxa" w:w="1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Invasion/Evasion</w:t>
            </w:r>
          </w:p>
        </w:tc>
        <w:tc>
          <w:tcPr>
            <w:tcW w:type="dxa" w:w="13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2</w:t>
            </w:r>
          </w:p>
        </w:tc>
        <w:tc>
          <w:tcPr>
            <w:tcW w:type="dxa" w:w="62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ibeA, ompA</w:t>
            </w:r>
          </w:p>
        </w:tc>
      </w:tr>
      <w:tr>
        <w:trPr>
          <w:cantSplit/>
        </w:trPr>
        <w:tc>
          <w:tcPr>
            <w:tcW w:type="dxa" w:w="1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Unassigned</w:t>
            </w:r>
          </w:p>
        </w:tc>
        <w:tc>
          <w:tcPr>
            <w:tcW w:type="dxa" w:w="13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61</w:t>
            </w:r>
          </w:p>
        </w:tc>
        <w:tc>
          <w:tcPr>
            <w:tcW w:type="dxa" w:w="62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aslA, csgB, csgD, csgE, csgF, csgG, cswA, daaF, espL1, espL4, espP, espR1, espR3, espR4, espX1, espX2, espX4, espX5, espX6, espY1, espY2, espY3, espY4, faeC, faeD, faeE, faeF, faeH, faeI, faeJ, fdeC, fes, gspC, gspD, gspE, gspF, gspG, gspH, gspI, gspJ, gspK, gspL, gspM, gtrA, gtrB, gtrII, pic, senB, shuA, shuS, shuT, shuX, shuY, sigA, tcpC, yagV/ecpE, yagW/ecpD, yagX/ecpC, yagY/ecpB, yagZ/ecpA, ykgK/ecpR</w:t>
            </w:r>
          </w:p>
        </w:tc>
      </w:tr>
      <w:tr>
        <w:trPr>
          <w:cantSplit/>
        </w:trPr>
        <w:tc>
          <w:tcPr>
            <w:tcW w:type="dxa" w:w="1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Not in gene_map.csv</w:t>
            </w:r>
          </w:p>
        </w:tc>
        <w:tc>
          <w:tcPr>
            <w:tcW w:type="dxa" w:w="13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64</w:t>
            </w:r>
          </w:p>
        </w:tc>
        <w:tc>
          <w:tcPr>
            <w:tcW w:type="dxa" w:w="62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F2937"/>
                <w:sz w:val="14"/>
              </w:rPr>
              <w:t>aap/aspU, afaA-VIII, afaB-VIII, afaC-VIII, afaD-VIII, afaE-VIII, afaF-VII, agg3A, agg3B, agg3C, agg3D, aggA, aggB, aggC, aggD, cesAB, cesD, cesD2, cesF, cesL, cesT, cif, eae, efa1, escC, escD, escE, escF, escG, escI, escJ, escL, escN, escO, escP, escR, escS, escT, escU, escV, espA, espD, espF, espG, espH, espL2, etgA, f17d-A, f17d-C, f17d-D, f17d-G, map, nleA, nleB1, nleB2, nleC, nleE, nleF, nleH1, nleH2, paa, sepD, sepL, sepQ/escQ</w:t>
            </w:r>
          </w:p>
        </w:tc>
      </w:tr>
    </w:tbl>
    <w:sectPr w:rsidR="00FC693F" w:rsidRPr="0006063C" w:rsidSect="00034616">
      <w:footerReference w:type="default" r:id="rId10"/>
      <w:pgSz w:w="15840" w:h="12240" w:orient="landscape"/>
      <w:pgMar w:top="792" w:right="792" w:bottom="792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>vf_analysis_ready.csv codebook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>Appendix: full header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compact_editorial_reference_title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87f65979259a4c92545afbb74b5d3a8efffb8a3d18cd2481df165b97e5c6d30e</dc:identifier>
</cp:coreProperties>
</file>