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ptos" w:hAnsi="Aptos"/>
          <w:b/>
          <w:color w:val="2B6CB0"/>
          <w:sz w:val="18"/>
        </w:rPr>
        <w:t>PRESENTER FIELD GUIDE  /  CURRENT LONGCYCLER RELEASE</w:t>
      </w:r>
    </w:p>
    <w:p>
      <w:pPr>
        <w:pStyle w:val="Title"/>
      </w:pPr>
      <w:r>
        <w:t>Longitudinal urinary E. coli</w:t>
        <w:br/>
        <w:t>virulence-factor review</w:t>
      </w:r>
    </w:p>
    <w:p>
      <w:pPr>
        <w:spacing w:after="200"/>
      </w:pPr>
      <w:r>
        <w:rPr>
          <w:color w:val="64748B"/>
          <w:sz w:val="24"/>
        </w:rPr>
        <w:t>Canonical guide for the 22-slide scientific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3"/>
        <w:gridCol w:w="3373"/>
        <w:gridCol w:w="3373"/>
      </w:tblGrid>
      <w:tr>
        <w:tc>
          <w:tcPr>
            <w:tcW w:type="dxa" w:w="3240"/>
            <w:vAlign w:val="center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b/>
                <w:color w:val="2B6CB0"/>
                <w:sz w:val="16"/>
              </w:rPr>
              <w:t>Analytical cohort</w:t>
              <w:br/>
            </w:r>
            <w:r>
              <w:rPr>
                <w:color w:val="111827"/>
                <w:sz w:val="17"/>
              </w:rPr>
              <w:t>532 episodes / 161 residents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b/>
                <w:color w:val="2B6CB0"/>
                <w:sz w:val="16"/>
              </w:rPr>
              <w:t>Operational phenotype</w:t>
              <w:br/>
            </w:r>
            <w:r>
              <w:rPr>
                <w:color w:val="111827"/>
                <w:sz w:val="17"/>
              </w:rPr>
              <w:t>16 UTI / 516 Not_UTI</w:t>
            </w:r>
          </w:p>
        </w:tc>
        <w:tc>
          <w:tcPr>
            <w:tcW w:type="dxa" w:w="3240"/>
            <w:vAlign w:val="center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b/>
                <w:color w:val="2B6CB0"/>
                <w:sz w:val="16"/>
              </w:rPr>
              <w:t>Longitudinal evidence</w:t>
              <w:br/>
            </w:r>
            <w:r>
              <w:rPr>
                <w:color w:val="111827"/>
                <w:sz w:val="17"/>
              </w:rPr>
              <w:t>893 direct / 371 adjacent</w:t>
            </w:r>
          </w:p>
        </w:tc>
      </w:tr>
      <w:tr>
        <w:tc>
          <w:tcPr>
            <w:tcW w:type="dxa" w:w="3240"/>
            <w:vAlign w:val="center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b/>
                <w:color w:val="2B6CB0"/>
                <w:sz w:val="16"/>
              </w:rPr>
              <w:t>Focused transition view</w:t>
              <w:br/>
            </w:r>
            <w:r>
              <w:rPr>
                <w:color w:val="111827"/>
                <w:sz w:val="17"/>
              </w:rPr>
              <w:t>9 cases / 5 ≤25 SNPs</w:t>
            </w:r>
          </w:p>
        </w:tc>
        <w:tc>
          <w:tcPr>
            <w:tcW w:type="dxa" w:w="3240"/>
            <w:vAlign w:val="center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b/>
                <w:color w:val="2B6CB0"/>
                <w:sz w:val="16"/>
              </w:rPr>
              <w:t>Mechanism casebook</w:t>
              <w:br/>
            </w:r>
            <w:r>
              <w:rPr>
                <w:color w:val="111827"/>
                <w:sz w:val="17"/>
              </w:rPr>
              <w:t>9/9/0 cases/linked/missing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b/>
                <w:color w:val="2B6CB0"/>
                <w:sz w:val="16"/>
              </w:rPr>
              <w:t>Research questions</w:t>
              <w:br/>
            </w:r>
            <w:r>
              <w:rPr>
                <w:color w:val="111827"/>
                <w:sz w:val="17"/>
              </w:rPr>
              <w:t>RQ01–RQ10</w:t>
            </w:r>
          </w:p>
        </w:tc>
      </w:tr>
    </w:tbl>
    <w:p>
      <w:pPr>
        <w:pStyle w:val="Heading1"/>
      </w:pPr>
      <w:r>
        <w:t>How to use this guide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Use the short script as the spoken spine; pause on plots and let the evidence carry the slide.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Every analytical claim is registry-bound and selected Longcycler only.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Operational UTI is exploratory observational context; no causal claim is supported.</w:t>
      </w:r>
    </w:p>
    <w:p>
      <w:pPr>
        <w:pStyle w:val="Heading2"/>
      </w:pPr>
      <w:r>
        <w:t>Release provenance</w:t>
      </w:r>
    </w:p>
    <w:p>
      <w:pPr>
        <w:spacing w:after="0"/>
      </w:pPr>
      <w:r>
        <w:rPr>
          <w:b/>
        </w:rPr>
        <w:t xml:space="preserve">Registry: </w:t>
      </w:r>
      <w:r>
        <w:t>/Users/Aamir/Desktop/rUTIs/results/pipeline/longcycler_release_claim_registry.json</w:t>
      </w:r>
      <w:r>
        <w:rPr>
          <w:b/>
        </w:rPr>
        <w:br/>
        <w:t xml:space="preserve">SHA-256: </w:t>
      </w:r>
      <w:r>
        <w:t>87f65979259a4c92545afbb74b5d3a8efffb8a3d18cd2481df165b97e5c6d30e</w:t>
      </w:r>
    </w:p>
    <w:p>
      <w:r>
        <w:br w:type="page"/>
      </w:r>
    </w:p>
    <w:p>
      <w:pPr>
        <w:pStyle w:val="Heading1"/>
      </w:pPr>
      <w:r>
        <w:t>Slide-by-slide script</w:t>
      </w:r>
    </w:p>
    <w:p>
      <w:r>
        <w:rPr>
          <w:color w:val="64748B"/>
        </w:rPr>
        <w:t>22 slides. Suggested cadence: 35–70 seconds per spoken slide; appendix slides are question-led.</w:t>
      </w:r>
    </w:p>
    <w:p>
      <w:pPr>
        <w:pStyle w:val="Heading2"/>
        <w:keepNext/>
      </w:pPr>
      <w:r>
        <w:t>Slide 01 — Title and release anchors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Open with the selected analytical denominator: 532 episodes from 161 residents, with 371 adjacent transitions and 16 operational UTI episodes.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The whole review is selected QC-passing Longcycler only.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Operational UTI is an exploratory annotation, not the organising genome source.</w:t>
      </w:r>
    </w:p>
    <w:p>
      <w:pPr>
        <w:pStyle w:val="Heading2"/>
        <w:keepNext/>
      </w:pPr>
      <w:r>
        <w:t>Slide 02 — Scope lock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One selected assembly per episode creates 532 episode-level genome profiles. The temporal layer is 371 adjacent transitions from 139 residents.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Name the assembly policy and analysis unit before discussing results.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Do not mix source/QC genomes into the analytical cohort.</w:t>
      </w:r>
    </w:p>
    <w:p>
      <w:pPr>
        <w:pStyle w:val="Heading2"/>
        <w:keepNext/>
      </w:pPr>
      <w:r>
        <w:t>Slide 03 — Selected cohort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The release cohort is 532 episodes, 161 residents, 16 operational UTI, and 516 operational Not_UTI.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There are 227 binary VF features in the current release.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Not_UTI is a mixed comparator, not one biological state.</w:t>
      </w:r>
    </w:p>
    <w:p>
      <w:pPr>
        <w:pStyle w:val="Heading2"/>
        <w:keepNext/>
      </w:pPr>
      <w:r>
        <w:t>Slide 04 — Numbered pipeline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Walk through the validated clinical-to-VF handoffs and point to the RQ01–RQ10 release layer.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Each stage consumes the same selected cohort.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Do not introduce an alternate assembly path.</w:t>
      </w:r>
    </w:p>
    <w:p>
      <w:pPr>
        <w:spacing w:after="40"/>
      </w:pPr>
    </w:p>
    <w:p>
      <w:pPr>
        <w:pStyle w:val="Heading2"/>
        <w:keepNext/>
      </w:pPr>
      <w:r>
        <w:t>Slide 05 — VF representation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Each selected episode is represented by 227 binary VF features, then summarised through curated modules and longitudinal comparisons.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Genes remain the underlying evidence even when modules are shown.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Presence/absence is not expression, activity, or causality.</w:t>
      </w:r>
    </w:p>
    <w:p>
      <w:pPr>
        <w:pStyle w:val="Heading2"/>
        <w:keepNext/>
      </w:pPr>
      <w:r>
        <w:t>Slide 06 — Gene repertoire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Read the ranked genes as a descriptive view of what is commonly detected in the selected cohort.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The denominator is the selected episode-level genome set.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Do not interpret prevalence ranking as a UTI association.</w:t>
      </w:r>
    </w:p>
    <w:p>
      <w:pPr>
        <w:pStyle w:val="Heading2"/>
        <w:keepNext/>
      </w:pPr>
      <w:r>
        <w:t>Slide 07 — Curated modules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Explain that modules organise genes into interpretable systems for navigation and summary.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Curation improves readability without changing binary gene evidence.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Modules are not validated disease-causality scores.</w:t>
      </w:r>
    </w:p>
    <w:p>
      <w:pPr>
        <w:pStyle w:val="Heading2"/>
        <w:keepNext/>
      </w:pPr>
      <w:r>
        <w:t>Slide 08 — Pair layers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Separate 893 direct within-resident pairs from 371 adjacent transitions. The first is broad; the second is temporally ordered.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140 adjacent transitions are at or below the operational 25-SNP threshold.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Always name the pair unit beside the count.</w:t>
      </w:r>
    </w:p>
    <w:p>
      <w:pPr>
        <w:spacing w:after="40"/>
      </w:pPr>
    </w:p>
    <w:p>
      <w:pPr>
        <w:pStyle w:val="Heading2"/>
        <w:keepNext/>
      </w:pPr>
      <w:r>
        <w:t>Slide 09 — Gain and loss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Use the 371 adjacent transitions to identify candidate VF gains and losses for follow-up.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Interpret change with lineage, genome distance, and QC context.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A detected change may reflect replacement or calling differences as well as true gene-content change.</w:t>
      </w:r>
    </w:p>
    <w:p>
      <w:pPr>
        <w:pStyle w:val="Heading2"/>
        <w:keepNext/>
      </w:pPr>
      <w:r>
        <w:t>Slide 10 — MLST context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Preferred MLST labels are available for 493 selected episodes across 76 distinct labels.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Use lineage as a diagnostic layer before status interpretation.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ST agreement does not prove the same strain.</w:t>
      </w:r>
    </w:p>
    <w:p>
      <w:pPr>
        <w:pStyle w:val="Heading2"/>
        <w:keepNext/>
      </w:pPr>
      <w:r>
        <w:t>Slide 11 — Exploratory clinical overlay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The selected phenotype split is 16 operational UTI versus 516 operational Not_UTI episodes.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The clinical model is hypothesis-generating and participant-aware.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No causal or confirmatory VF status claim is supported by the sparse phenotype denominator.</w:t>
      </w:r>
    </w:p>
    <w:p>
      <w:pPr>
        <w:pStyle w:val="Heading2"/>
        <w:keepNext/>
      </w:pPr>
      <w:r>
        <w:t>Slide 12 — Aggregate focused transitions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There are 9 focused Not_UTI-to-UTI adjacent transitions; 5 are at or below 25 SNPs. The casebook is 9/9/0 cases/linked/missing.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Report the aggregate casebook, not a single anecdote.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Low genome distance cannot identify host-state change or bacterial regulation by itself.</w:t>
      </w:r>
    </w:p>
    <w:p>
      <w:pPr>
        <w:spacing w:after="40"/>
      </w:pPr>
    </w:p>
    <w:p>
      <w:pPr>
        <w:pStyle w:val="Heading2"/>
        <w:keepNext/>
      </w:pPr>
      <w:r>
        <w:t>Slide 13 — Evidence, boundary, next steps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Land on three messages: the selected longitudinal evidence is coherent; the clinical phenotype remains sparse; and follow-up must be lineage-aware.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Ask what extra evidence would distinguish bacterial change from host-state and sampling effects.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Keep causal interpretation outside the supported claim set.</w:t>
      </w:r>
    </w:p>
    <w:p>
      <w:pPr>
        <w:pStyle w:val="Heading2"/>
        <w:keepNext/>
      </w:pPr>
      <w:r>
        <w:t>Slide 14 — Operational handover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Point to the selected manifest, clinical key, VF matrix, pair tables, transition casebook, and RQ01–RQ10 runner.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The release claim registry is the provenance anchor.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Do not use an unregistered intermediate as a release source.</w:t>
      </w:r>
    </w:p>
    <w:p>
      <w:pPr>
        <w:pStyle w:val="Heading2"/>
        <w:keepNext/>
      </w:pPr>
      <w:r>
        <w:t>Slide 15 — Denominator audit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The source clinical context is 583 episodes and 166 residents (18 UTI, 565 Not_UTI). It is retained only for attrition/QC context.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Analytical claims remain 532/161/16/516.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Never substitute source/QC counts into analytical claims.</w:t>
      </w:r>
    </w:p>
    <w:p>
      <w:pPr>
        <w:pStyle w:val="Heading2"/>
        <w:keepNext/>
      </w:pPr>
      <w:r>
        <w:t>Slide 16 — Module prevalence annotation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Use module prevalence by status as a descriptive clinical annotation view.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Keep the operational phenotype denominator visible.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Repeated measures and lineage are not fully resolved by a simple prevalence plot.</w:t>
      </w:r>
    </w:p>
    <w:p>
      <w:pPr>
        <w:spacing w:after="40"/>
      </w:pPr>
    </w:p>
    <w:p>
      <w:pPr>
        <w:pStyle w:val="Heading2"/>
        <w:keepNext/>
      </w:pPr>
      <w:r>
        <w:t>Slide 17 — Complete mechanism casebook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The focused mechanism casebook contains 9 cases, all 9 linked, with 0 missing endpoints.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Use the evidence matrix to show heterogeneity across cases.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Buckets organise evidence; they do not prove mechanism.</w:t>
      </w:r>
    </w:p>
    <w:p>
      <w:pPr>
        <w:pStyle w:val="Heading2"/>
        <w:keepNext/>
      </w:pPr>
      <w:r>
        <w:t>Slide 18 — Stable strain and changing clinical state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Among the 9 focused transitions, 5 are at or below 25 SNPs.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Stable genomic context can motivate host-state or regulation hypotheses.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It cannot establish either hypothesis without additional evidence.</w:t>
      </w:r>
    </w:p>
    <w:p>
      <w:pPr>
        <w:pStyle w:val="Heading2"/>
        <w:keepNext/>
      </w:pPr>
      <w:r>
        <w:t>Slide 19 — Robustness boundary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The operational phenotype contains only 16 UTI episodes, and the 17-row near-miss audit is separate.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Use robustness diagnostics to define uncertainty.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Near-miss rows are not operational UTI cases.</w:t>
      </w:r>
    </w:p>
    <w:p>
      <w:pPr>
        <w:pStyle w:val="Heading2"/>
        <w:keepNext/>
      </w:pPr>
      <w:r>
        <w:t>Slide 20 — Lineage diagnostic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Use the VF-profile PCoA by preferred sequence type to assess lineage structure.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Lineage structure should be considered before interpreting status patterns.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Clustering is diagnostic context, not causal evidence.</w:t>
      </w:r>
    </w:p>
    <w:p>
      <w:pPr>
        <w:spacing w:after="40"/>
      </w:pPr>
    </w:p>
    <w:p>
      <w:pPr>
        <w:pStyle w:val="Heading2"/>
        <w:keepNext/>
      </w:pPr>
      <w:r>
        <w:t>Slide 21 — Accessory context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Keep accessory and mobile-element information as transition-level context when it helps interpret a specific pattern.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The VF review remains the scientific centre.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No dedicated AMR association or causal accessory claim is made.</w:t>
      </w:r>
    </w:p>
    <w:p>
      <w:pPr>
        <w:pStyle w:val="Heading2"/>
        <w:keepNext/>
      </w:pPr>
      <w:r>
        <w:t>Slide 22 — Release registry and sources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Close the appendix by showing the registry path, SHA-256, selected denominators, pair layers, focused casebook, near-miss audit, and RQ01–RQ10 marker.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Use the registry for provenance questions.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Do not answer release-count questions from memory or an earlier deck.</w:t>
      </w:r>
    </w:p>
    <w:p>
      <w:r>
        <w:br w:type="page"/>
      </w:r>
    </w:p>
    <w:p>
      <w:pPr>
        <w:pStyle w:val="Heading1"/>
      </w:pPr>
      <w:r>
        <w:t>Rapid Q&amp;A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0"/>
        <w:gridCol w:w="5060"/>
      </w:tblGrid>
      <w:tr>
        <w:trPr>
          <w:tblHeader w:val="true"/>
        </w:trPr>
        <w:tc>
          <w:tcPr>
            <w:tcW w:type="dxa" w:w="5060"/>
            <w:shd w:fill="2B6CB0"/>
          </w:tcPr>
          <w:p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5060"/>
            <w:shd w:fill="2B6CB0"/>
          </w:tcPr>
          <w:p>
            <w:r>
              <w:rPr>
                <w:b/>
                <w:color w:val="FFFFFF"/>
                <w:sz w:val="17"/>
              </w:rPr>
              <w:t>Release-safe answer</w:t>
            </w:r>
          </w:p>
        </w:tc>
      </w:tr>
      <w:tr>
        <w:tc>
          <w:tcPr>
            <w:tcW w:type="dxa" w:w="30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30"/>
            </w:pPr>
            <w:r>
              <w:rPr>
                <w:sz w:val="17"/>
              </w:rPr>
              <w:t>Which genome source?</w:t>
            </w:r>
          </w:p>
        </w:tc>
        <w:tc>
          <w:tcPr>
            <w:tcW w:type="dxa" w:w="69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30"/>
            </w:pPr>
            <w:r>
              <w:rPr>
                <w:sz w:val="17"/>
              </w:rPr>
              <w:t>One selected QC-passing Longcycler assembly per analytical episode.</w:t>
            </w:r>
          </w:p>
        </w:tc>
      </w:tr>
      <w:tr>
        <w:tc>
          <w:tcPr>
            <w:tcW w:type="dxa" w:w="30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30"/>
            </w:pPr>
            <w:r>
              <w:rPr>
                <w:sz w:val="17"/>
              </w:rPr>
              <w:t>Which analytical denominator?</w:t>
            </w:r>
          </w:p>
        </w:tc>
        <w:tc>
          <w:tcPr>
            <w:tcW w:type="dxa" w:w="69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30"/>
            </w:pPr>
            <w:r>
              <w:rPr>
                <w:sz w:val="17"/>
              </w:rPr>
              <w:t>532 episodes from 161 residents; 16 operational UTI and 516 operational Not_UTI.</w:t>
            </w:r>
          </w:p>
        </w:tc>
      </w:tr>
      <w:tr>
        <w:tc>
          <w:tcPr>
            <w:tcW w:type="dxa" w:w="30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30"/>
            </w:pPr>
            <w:r>
              <w:rPr>
                <w:sz w:val="17"/>
              </w:rPr>
              <w:t>Why do pair counts differ?</w:t>
            </w:r>
          </w:p>
        </w:tc>
        <w:tc>
          <w:tcPr>
            <w:tcW w:type="dxa" w:w="69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30"/>
            </w:pPr>
            <w:r>
              <w:rPr>
                <w:sz w:val="17"/>
              </w:rPr>
              <w:t>893 direct pairs include all within-resident comparisons; 371 adjacent transitions are temporally ordered.</w:t>
            </w:r>
          </w:p>
        </w:tc>
      </w:tr>
      <w:tr>
        <w:tc>
          <w:tcPr>
            <w:tcW w:type="dxa" w:w="30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30"/>
            </w:pPr>
            <w:r>
              <w:rPr>
                <w:sz w:val="17"/>
              </w:rPr>
              <w:t>What does ≤25 SNPs mean?</w:t>
            </w:r>
          </w:p>
        </w:tc>
        <w:tc>
          <w:tcPr>
            <w:tcW w:type="dxa" w:w="69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30"/>
            </w:pPr>
            <w:r>
              <w:rPr>
                <w:sz w:val="17"/>
              </w:rPr>
              <w:t>It is the operational threshold used for context. 140 adjacent transitions meet it; 5 of 9 focused transitions meet it.</w:t>
            </w:r>
          </w:p>
        </w:tc>
      </w:tr>
      <w:tr>
        <w:tc>
          <w:tcPr>
            <w:tcW w:type="dxa" w:w="30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30"/>
            </w:pPr>
            <w:r>
              <w:rPr>
                <w:sz w:val="17"/>
              </w:rPr>
              <w:t>Is the casebook complete?</w:t>
            </w:r>
          </w:p>
        </w:tc>
        <w:tc>
          <w:tcPr>
            <w:tcW w:type="dxa" w:w="69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30"/>
            </w:pPr>
            <w:r>
              <w:rPr>
                <w:sz w:val="17"/>
              </w:rPr>
              <w:t>Yes: 9 cases, 9 linked, 0 missing.</w:t>
            </w:r>
          </w:p>
        </w:tc>
      </w:tr>
      <w:tr>
        <w:tc>
          <w:tcPr>
            <w:tcW w:type="dxa" w:w="30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30"/>
            </w:pPr>
            <w:r>
              <w:rPr>
                <w:sz w:val="17"/>
              </w:rPr>
              <w:t>Are near-miss rows UTI cases?</w:t>
            </w:r>
          </w:p>
        </w:tc>
        <w:tc>
          <w:tcPr>
            <w:tcW w:type="dxa" w:w="69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30"/>
            </w:pPr>
            <w:r>
              <w:rPr>
                <w:sz w:val="17"/>
              </w:rPr>
              <w:t>No. The 17-row audit is explicitly separate from operational UTI cases.</w:t>
            </w:r>
          </w:p>
        </w:tc>
      </w:tr>
      <w:tr>
        <w:tc>
          <w:tcPr>
            <w:tcW w:type="dxa" w:w="30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30"/>
            </w:pPr>
            <w:r>
              <w:rPr>
                <w:sz w:val="17"/>
              </w:rPr>
              <w:t>What is the claim level?</w:t>
            </w:r>
          </w:p>
        </w:tc>
        <w:tc>
          <w:tcPr>
            <w:tcW w:type="dxa" w:w="69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30"/>
            </w:pPr>
            <w:r>
              <w:rPr>
                <w:sz w:val="17"/>
              </w:rPr>
              <w:t>Exploratory observational analysis. No causal claim.</w:t>
            </w:r>
          </w:p>
        </w:tc>
      </w:tr>
    </w:tbl>
    <w:p>
      <w:pPr>
        <w:pStyle w:val="Heading1"/>
      </w:pPr>
      <w:r>
        <w:t>Registered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3"/>
        <w:gridCol w:w="3373"/>
        <w:gridCol w:w="3373"/>
      </w:tblGrid>
      <w:tr>
        <w:trPr>
          <w:tblHeader w:val="true"/>
        </w:trPr>
        <w:tc>
          <w:tcPr>
            <w:tcW w:type="dxa" w:w="3373"/>
            <w:shd w:fill="2B6CB0"/>
          </w:tcPr>
          <w:p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type="dxa" w:w="3373"/>
            <w:shd w:fill="2B6CB0"/>
          </w:tcPr>
          <w:p>
            <w:r>
              <w:rPr>
                <w:b/>
                <w:color w:val="FFFFFF"/>
                <w:sz w:val="15"/>
              </w:rPr>
              <w:t>Path</w:t>
            </w:r>
          </w:p>
        </w:tc>
        <w:tc>
          <w:tcPr>
            <w:tcW w:type="dxa" w:w="3373"/>
            <w:shd w:fill="2B6CB0"/>
          </w:tcPr>
          <w:p>
            <w:r>
              <w:rPr>
                <w:b/>
                <w:color w:val="FFFFFF"/>
                <w:sz w:val="15"/>
              </w:rPr>
              <w:t>SHA-256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cohort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/Users/Aamir/Desktop/rUTIs/results/clinical/analysis_cohort_longcycler.csv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bd58fe19c43e36567a79e04a8ced7e6d0e53faa50100c042317b01517bbef939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manifest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/Users/Aamir/Desktop/rUTIs/results/qc/analysis_assembly_manifest.csv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de9e96bfc8ff403cfa65ad503380629e63a78cf62e7442bd1a8bfd6da30abac7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vf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/Users/Aamir/Desktop/rUTIs/results/vf/vf_pa_all.csv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24a909ca69bedc08da9fff961162408e806d89028c80c0a3ae80e2e92d50ac35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mlst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/Users/Aamir/Desktop/rUTIs/results/mlst/mlst_provider_preferred.csv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b43be76e7fad03334d8a6f3cc414ff782e1719c56c3ac3c9f8be8b7dca90d148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pairs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/Users/Aamir/Desktop/rUTIs/results/strain_compare/pairwise_metrics.csv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1a818e0e0c18340c38872eae45b832fa9cf3fe92f8f161d47fae286609682350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transitions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/Users/Aamir/Desktop/rUTIs/results/longitudinal/longcycler_transitions.csv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69363e04837ced3a0bc1690e285960b1f4181d4d896be46d3b99b0f09b16c1f3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panaroo_manifest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/Users/Aamir/Desktop/rUTIs/results/wgs/pan/panaroo_input_manifest.csv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8933945d5c3ca8f678a83ae3574bcd92bb6bfd29132eabb0b45bdf599cb3636d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panaroo_roary_compatibility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/Users/Aamir/Desktop/rUTIs/results/wgs/pan/gene_presence_absence_roary.csv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69a03687f69927d917ab5ff92eb681e3ac5fbe8969d1c9732cc9ac30ed81db78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casebook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/Users/Aamir/Desktop/rUTIs/results/mechanism/not_uti_to_uti_casebook.csv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3ef6f95b03ff138ba956ab930fe3ce05e572cc55816930eb38f9037b27ee2636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near_miss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/Users/Aamir/Desktop/rUTIs/results/audit/uti_not_uti_near_miss_rows.csv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29cbab157061080820152cf533e44e0763c7e4c235814bf254661d1e72c2dd90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rq_marker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/Users/Aamir/Desktop/rUTIs/results/research_questions/RUN_COMPLETE.txt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6f320f7d9fd80c262f0be36cde7a6ec87a243b4665696b9612c39cb6586e7413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vf_method_manifest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/Users/Aamir/Desktop/rUTIs/results/research_questions/_inputs/method_manifest.csv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16ed5d9943c744021ac360e036bd724c9f498f5d1a7873937c0ad05962bd179e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project_configuration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/Users/Aamir/Desktop/rUTIs/00_config.R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1cf0bfe800723097de9090f7287760ea0b11653a11dd9755b5b36f7c380cffff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assembly_qc_implementation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/Users/Aamir/Desktop/rUTIs/R/wgs_helpers.R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c8abc92527025d32b722bac493ddb7bfa2fd820d895ac2f965d842954ddd31c9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provider_mlst_implementation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/Users/Aamir/Desktop/rUTIs/R/provider_mlst_integration.R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4ab35394d93562992dec638d9592985defe2dcd68b60e573f5253163de9c720a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vfdb_implementation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/Users/Aamir/Desktop/rUTIs/scripts/research_questions/run_rq06_08.R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7681c10fd92169db6754c446f27164cefe3b61b29c53593d7058728e6d2b538a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direct_pair_implementation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/Users/Aamir/Desktop/rUTIs/11_compare_strains.R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2a725dc70be9d1f266fe21edf489967a331b4346ee2434fb7114e0fd99aae148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core_genome_implementation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/Users/Aamir/Desktop/rUTIs/12b_core_snp.R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7555e6484b78e9c683091353211db0855beee2713bccfb6c2124391e5ea33278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pangenome_implementation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/Users/Aamir/Desktop/rUTIs/12c_panaroo.R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0e009e69df4a15ede4e4b4246d24db07f3f71064cba5ee297b839efedca9d9ed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4748B"/>
        <w:sz w:val="15"/>
      </w:rPr>
      <w:t xml:space="preserve">Selected analytical release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ptos" w:hAnsi="Aptos"/>
        <w:color w:val="64748B"/>
        <w:sz w:val="15"/>
      </w:rPr>
      <w:t>LONGCYCLER-ONLY PRESENTER GUIDE  |  OPERATIONAL UTI PHENOTYPE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B6CB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F855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182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