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ptos" w:hAnsi="Aptos"/>
          <w:b/>
          <w:color w:val="2B6CB0"/>
          <w:sz w:val="18"/>
        </w:rPr>
        <w:t>PRESENTER FIELD GUIDE  /  CURRENT LONGCYCLER RELEASE</w:t>
      </w:r>
    </w:p>
    <w:p>
      <w:pPr>
        <w:pStyle w:val="Title"/>
      </w:pPr>
      <w:r>
        <w:t>Longitudinal urinary E. coli</w:t>
        <w:br/>
        <w:t>virulence-factor review</w:t>
      </w:r>
    </w:p>
    <w:p>
      <w:pPr>
        <w:spacing w:after="200"/>
      </w:pPr>
      <w:r>
        <w:rPr>
          <w:color w:val="64748B"/>
          <w:sz w:val="24"/>
        </w:rPr>
        <w:t>Canonical guide for the 25-slide review with onboarding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c>
          <w:tcPr>
            <w:tcW w:type="dxa" w:w="3240"/>
            <w:vAlign w:val="center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Analytical cohort</w:t>
              <w:br/>
            </w:r>
            <w:r>
              <w:rPr>
                <w:color w:val="111827"/>
                <w:sz w:val="17"/>
              </w:rPr>
              <w:t>532 episodes / 161 residents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Operational phenotype</w:t>
              <w:br/>
            </w:r>
            <w:r>
              <w:rPr>
                <w:color w:val="111827"/>
                <w:sz w:val="17"/>
              </w:rPr>
              <w:t>16 UTI / 516 Not_UTI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Longitudinal evidence</w:t>
              <w:br/>
            </w:r>
            <w:r>
              <w:rPr>
                <w:color w:val="111827"/>
                <w:sz w:val="17"/>
              </w:rPr>
              <w:t>893 direct / 371 adjacent</w:t>
            </w:r>
          </w:p>
        </w:tc>
      </w:tr>
      <w:tr>
        <w:tc>
          <w:tcPr>
            <w:tcW w:type="dxa" w:w="3240"/>
            <w:vAlign w:val="center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Focused transition view</w:t>
              <w:br/>
            </w:r>
            <w:r>
              <w:rPr>
                <w:color w:val="111827"/>
                <w:sz w:val="17"/>
              </w:rPr>
              <w:t>9 cases / 5 ≤25 SNPs</w:t>
            </w:r>
          </w:p>
        </w:tc>
        <w:tc>
          <w:tcPr>
            <w:tcW w:type="dxa" w:w="3240"/>
            <w:vAlign w:val="center"/>
            <w:shd w:fill="F8FAFC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Mechanism casebook</w:t>
              <w:br/>
            </w:r>
            <w:r>
              <w:rPr>
                <w:color w:val="111827"/>
                <w:sz w:val="17"/>
              </w:rPr>
              <w:t>9/9/0 cases/linked/missing</w:t>
            </w:r>
          </w:p>
        </w:tc>
        <w:tc>
          <w:tcPr>
            <w:tcW w:type="dxa" w:w="3240"/>
            <w:vAlign w:val="center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b/>
                <w:color w:val="2B6CB0"/>
                <w:sz w:val="16"/>
              </w:rPr>
              <w:t>Research questions</w:t>
              <w:br/>
            </w:r>
            <w:r>
              <w:rPr>
                <w:color w:val="111827"/>
                <w:sz w:val="17"/>
              </w:rPr>
              <w:t>RQ01–RQ10</w:t>
            </w:r>
          </w:p>
        </w:tc>
      </w:tr>
    </w:tbl>
    <w:p>
      <w:pPr>
        <w:pStyle w:val="Heading1"/>
      </w:pPr>
      <w:r>
        <w:t>How to use this guide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Use the short script as the spoken spine; pause on plots and let the evidence carry the slide.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Every analytical claim is registry-bound and selected Longcycler only.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Operational UTI is exploratory observational context; no causal claim is supported.</w:t>
      </w:r>
    </w:p>
    <w:p>
      <w:pPr>
        <w:pStyle w:val="Heading2"/>
      </w:pPr>
      <w:r>
        <w:t>Release provenance</w:t>
      </w:r>
    </w:p>
    <w:p>
      <w:pPr>
        <w:spacing w:after="0"/>
      </w:pPr>
      <w:r>
        <w:rPr>
          <w:b/>
        </w:rPr>
        <w:t xml:space="preserve">Registry: </w:t>
      </w:r>
      <w:r>
        <w:t>/Users/Aamir/Desktop/rUTIs/results/pipeline/longcycler_release_claim_registry.json</w:t>
      </w:r>
      <w:r>
        <w:rPr>
          <w:b/>
        </w:rPr>
        <w:br/>
        <w:t xml:space="preserve">SHA-256: </w:t>
      </w:r>
      <w:r>
        <w:t>87f65979259a4c92545afbb74b5d3a8efffb8a3d18cd2481df165b97e5c6d30e</w:t>
      </w:r>
    </w:p>
    <w:p>
      <w:r>
        <w:br w:type="page"/>
      </w:r>
    </w:p>
    <w:p>
      <w:pPr>
        <w:pStyle w:val="Heading1"/>
      </w:pPr>
      <w:r>
        <w:t>Slide-by-slide script</w:t>
      </w:r>
    </w:p>
    <w:p>
      <w:r>
        <w:rPr>
          <w:color w:val="64748B"/>
        </w:rPr>
        <w:t>25 slides. Suggested cadence: 35–70 seconds per spoken slide; appendix slides are question-led.</w:t>
      </w:r>
    </w:p>
    <w:p>
      <w:pPr>
        <w:pStyle w:val="Heading2"/>
        <w:keepNext/>
      </w:pPr>
      <w:r>
        <w:t>Slide 01 — Title and release anchors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Open with the selected analytical denominator: 532 episodes from 161 residents, with 371 adjacent transitions and 16 operational UTI episodes.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whole review is selected QC-passing Longcycler only.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Operational UTI is an exploratory annotation, not the organising genome source.</w:t>
      </w:r>
    </w:p>
    <w:p>
      <w:pPr>
        <w:pStyle w:val="Heading2"/>
        <w:keepNext/>
      </w:pPr>
      <w:r>
        <w:t>Slide 02 — Plain-English loop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Walk from clinical episode to selected genome, binary VF row, longitudinal comparison, and finally the clinical overlay.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genome source is selected QC-passing Longcycler only.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collapse episodes, residents, pairs, and transitions into one unit.</w:t>
      </w:r>
    </w:p>
    <w:p>
      <w:pPr>
        <w:pStyle w:val="Heading2"/>
        <w:keepNext/>
      </w:pPr>
      <w:r>
        <w:t>Slide 03 — Denominator units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Explain why the counts change: 583 source episodes retained only for attrition/QC context, 532 selected analytical episodes, 893 direct pairs, and 371 adjacent transitions.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Name the unit whenever a number appears.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Source/QC counts do not replace analytical counts.</w:t>
      </w:r>
    </w:p>
    <w:p>
      <w:pPr>
        <w:pStyle w:val="Heading2"/>
        <w:keepNext/>
      </w:pPr>
      <w:r>
        <w:t>Slide 04 — Operational phenotype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Explain the project annotation that yields 16 operational UTI and 516 operational Not_UTI selected episodes.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Not_UTI is a mixed comparator.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The operational label is not a universal clinical diagnosis.</w:t>
      </w:r>
    </w:p>
    <w:p>
      <w:pPr>
        <w:spacing w:after="40"/>
      </w:pPr>
    </w:p>
    <w:p>
      <w:pPr>
        <w:pStyle w:val="Heading2"/>
        <w:keepNext/>
      </w:pPr>
      <w:r>
        <w:t>Slide 05 — Scope lock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One selected assembly per episode creates 532 episode-level genome profiles. The temporal layer is 371 adjacent transitions from 139 residents.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Name the assembly policy and analysis unit before discussing results.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mix source/QC genomes into the analytical cohort.</w:t>
      </w:r>
    </w:p>
    <w:p>
      <w:pPr>
        <w:pStyle w:val="Heading2"/>
        <w:keepNext/>
      </w:pPr>
      <w:r>
        <w:t>Slide 06 — Selected cohort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release cohort is 532 episodes, 161 residents, 16 operational UTI, and 516 operational Not_UTI.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There are 227 binary VF features in the current release.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Not_UTI is a mixed comparator, not one biological state.</w:t>
      </w:r>
    </w:p>
    <w:p>
      <w:pPr>
        <w:pStyle w:val="Heading2"/>
        <w:keepNext/>
      </w:pPr>
      <w:r>
        <w:t>Slide 07 — Numbered pipeline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Walk through the validated clinical-to-VF handoffs and point to the RQ01–RQ10 release layer.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Each stage consumes the same selected cohort.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introduce an alternate assembly path.</w:t>
      </w:r>
    </w:p>
    <w:p>
      <w:pPr>
        <w:pStyle w:val="Heading2"/>
        <w:keepNext/>
      </w:pPr>
      <w:r>
        <w:t>Slide 08 — VF representation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Each selected episode is represented by 227 binary VF features, then summarised through curated modules and longitudinal comparisons.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Genes remain the underlying evidence even when modules are shown.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Presence/absence is not expression, activity, or causality.</w:t>
      </w:r>
    </w:p>
    <w:p>
      <w:pPr>
        <w:spacing w:after="40"/>
      </w:pPr>
    </w:p>
    <w:p>
      <w:pPr>
        <w:pStyle w:val="Heading2"/>
        <w:keepNext/>
      </w:pPr>
      <w:r>
        <w:t>Slide 09 — Gene repertoire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Read the ranked genes as a descriptive view of what is commonly detected in the selected cohort.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denominator is the selected episode-level genome set.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interpret prevalence ranking as a UTI association.</w:t>
      </w:r>
    </w:p>
    <w:p>
      <w:pPr>
        <w:pStyle w:val="Heading2"/>
        <w:keepNext/>
      </w:pPr>
      <w:r>
        <w:t>Slide 10 — Curated modules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Explain that modules organise genes into interpretable systems for navigation and summary.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Curation improves readability without changing binary gene evidence.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Modules are not validated disease-causality scores.</w:t>
      </w:r>
    </w:p>
    <w:p>
      <w:pPr>
        <w:pStyle w:val="Heading2"/>
        <w:keepNext/>
      </w:pPr>
      <w:r>
        <w:t>Slide 11 — Pair layers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Separate 893 direct within-resident pairs from 371 adjacent transitions. The first is broad; the second is temporally ordered.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140 adjacent transitions are at or below the operational 25-SNP threshold.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Always name the pair unit beside the count.</w:t>
      </w:r>
    </w:p>
    <w:p>
      <w:pPr>
        <w:pStyle w:val="Heading2"/>
        <w:keepNext/>
      </w:pPr>
      <w:r>
        <w:t>Slide 12 — Gain and loss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Use the 371 adjacent transitions to identify candidate VF gains and losses for follow-up.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Interpret change with lineage, genome distance, and QC context.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A detected change may reflect replacement or calling differences as well as true gene-content change.</w:t>
      </w:r>
    </w:p>
    <w:p>
      <w:pPr>
        <w:spacing w:after="40"/>
      </w:pPr>
    </w:p>
    <w:p>
      <w:pPr>
        <w:pStyle w:val="Heading2"/>
        <w:keepNext/>
      </w:pPr>
      <w:r>
        <w:t>Slide 13 — MLST context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Preferred MLST labels are available for 493 selected episodes across 76 distinct labels.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Use lineage as a diagnostic layer before status interpretation.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ST agreement does not prove the same strain.</w:t>
      </w:r>
    </w:p>
    <w:p>
      <w:pPr>
        <w:pStyle w:val="Heading2"/>
        <w:keepNext/>
      </w:pPr>
      <w:r>
        <w:t>Slide 14 — Exploratory clinical overlay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selected phenotype split is 16 operational UTI versus 516 operational Not_UTI episodes.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clinical model is hypothesis-generating and participant-aware.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No causal or confirmatory VF status claim is supported by the sparse phenotype denominator.</w:t>
      </w:r>
    </w:p>
    <w:p>
      <w:pPr>
        <w:pStyle w:val="Heading2"/>
        <w:keepNext/>
      </w:pPr>
      <w:r>
        <w:t>Slide 15 — Aggregate focused transitions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There are 9 focused Not_UTI-to-UTI adjacent transitions; 5 are at or below 25 SNPs. The casebook is 9/9/0 cases/linked/missing.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Report the aggregate casebook, not a single anecdote.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Low genome distance cannot identify host-state change or bacterial regulation by itself.</w:t>
      </w:r>
    </w:p>
    <w:p>
      <w:pPr>
        <w:pStyle w:val="Heading2"/>
        <w:keepNext/>
      </w:pPr>
      <w:r>
        <w:t>Slide 16 — Evidence, boundary, next steps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Land on three messages: the selected longitudinal evidence is coherent; the clinical phenotype remains sparse; and follow-up must be lineage-aware.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Ask what extra evidence would distinguish bacterial change from host-state and sampling effects.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Keep causal interpretation outside the supported claim set.</w:t>
      </w:r>
    </w:p>
    <w:p>
      <w:pPr>
        <w:spacing w:after="40"/>
      </w:pPr>
    </w:p>
    <w:p>
      <w:pPr>
        <w:pStyle w:val="Heading2"/>
        <w:keepNext/>
      </w:pPr>
      <w:r>
        <w:t>Slide 17 — Operational handover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Point to the selected manifest, clinical key, VF matrix, pair tables, transition casebook, and RQ01–RQ10 runner.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release claim registry is the provenance anchor.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use an unregistered intermediate as a release source.</w:t>
      </w:r>
    </w:p>
    <w:p>
      <w:pPr>
        <w:pStyle w:val="Heading2"/>
        <w:keepNext/>
      </w:pPr>
      <w:r>
        <w:t>Slide 18 — Denominator audit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source clinical context is 583 episodes and 166 residents (18 UTI, 565 Not_UTI). It is retained only for attrition/QC context.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Analytical claims remain 532/161/16/516.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Never substitute source/QC counts into analytical claims.</w:t>
      </w:r>
    </w:p>
    <w:p>
      <w:pPr>
        <w:pStyle w:val="Heading2"/>
        <w:keepNext/>
      </w:pPr>
      <w:r>
        <w:t>Slide 19 — Module prevalence annotation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Use module prevalence by status as a descriptive clinical annotation view.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Keep the operational phenotype denominator visible.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Repeated measures and lineage are not fully resolved by a simple prevalence plot.</w:t>
      </w:r>
    </w:p>
    <w:p>
      <w:pPr>
        <w:pStyle w:val="Heading2"/>
        <w:keepNext/>
      </w:pPr>
      <w:r>
        <w:t>Slide 20 — Complete mechanism casebook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focused mechanism casebook contains 9 cases, all 9 linked, with 0 missing endpoints.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Use the evidence matrix to show heterogeneity across cases.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Buckets organise evidence; they do not prove mechanism.</w:t>
      </w:r>
    </w:p>
    <w:p>
      <w:pPr>
        <w:spacing w:after="40"/>
      </w:pPr>
    </w:p>
    <w:p>
      <w:pPr>
        <w:pStyle w:val="Heading2"/>
        <w:keepNext/>
      </w:pPr>
      <w:r>
        <w:t>Slide 21 — Stable strain and changing clinical state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Among the 9 focused transitions, 5 are at or below 25 SNPs.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Stable genomic context can motivate host-state or regulation hypotheses.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It cannot establish either hypothesis without additional evidence.</w:t>
      </w:r>
    </w:p>
    <w:p>
      <w:pPr>
        <w:pStyle w:val="Heading2"/>
        <w:keepNext/>
      </w:pPr>
      <w:r>
        <w:t>Slide 22 — Robustness boundary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The operational phenotype contains only 16 UTI episodes, and the 17-row near-miss audit is separate.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Use robustness diagnostics to define uncertainty.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Near-miss rows are not operational UTI cases.</w:t>
      </w:r>
    </w:p>
    <w:p>
      <w:pPr>
        <w:pStyle w:val="Heading2"/>
        <w:keepNext/>
      </w:pPr>
      <w:r>
        <w:t>Slide 23 — Lineage diagnostic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Use the VF-profile PCoA by preferred sequence type to assess lineage structure.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Lineage structure should be considered before interpreting status patterns.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Clustering is diagnostic context, not causal evidence.</w:t>
      </w:r>
    </w:p>
    <w:p>
      <w:pPr>
        <w:pStyle w:val="Heading2"/>
        <w:keepNext/>
      </w:pPr>
      <w:r>
        <w:t>Slide 24 — Accessory context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Keep accessory and mobile-element information as transition-level context when it helps interpret a specific pattern.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The VF review remains the scientific centre.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No dedicated AMR association or causal accessory claim is made.</w:t>
      </w:r>
    </w:p>
    <w:p>
      <w:pPr>
        <w:spacing w:after="40"/>
      </w:pPr>
    </w:p>
    <w:p>
      <w:pPr>
        <w:pStyle w:val="Heading2"/>
        <w:keepNext/>
      </w:pPr>
      <w:r>
        <w:t>Slide 25 — Release registry and sources</w:t>
      </w:r>
    </w:p>
    <w:p>
      <w:pPr>
        <w:keepLines/>
        <w:spacing w:after="60"/>
      </w:pPr>
      <w:r>
        <w:rPr>
          <w:b/>
          <w:color w:val="2B6CB0"/>
        </w:rPr>
        <w:t xml:space="preserve">Say: </w:t>
      </w:r>
      <w:r>
        <w:t>Close the appendix by showing the registry path, SHA-256, selected denominators, pair layers, focused casebook, near-miss audit, and RQ01–RQ10 marker.</w:t>
      </w:r>
    </w:p>
    <w:p>
      <w:pPr>
        <w:keepLines/>
        <w:spacing w:after="60"/>
      </w:pPr>
      <w:r>
        <w:rPr>
          <w:b/>
          <w:color w:val="2F855A"/>
        </w:rPr>
        <w:t xml:space="preserve">Emphasise: </w:t>
      </w:r>
      <w:r>
        <w:t>Use the registry for provenance questions.</w:t>
      </w:r>
    </w:p>
    <w:p>
      <w:pPr>
        <w:keepLines/>
        <w:spacing w:after="60"/>
      </w:pPr>
      <w:r>
        <w:rPr>
          <w:b/>
          <w:color w:val="D97706"/>
        </w:rPr>
        <w:t xml:space="preserve">Boundary: </w:t>
      </w:r>
      <w:r>
        <w:t>Do not answer release-count questions from memory or an earlier deck.</w:t>
      </w:r>
    </w:p>
    <w:p>
      <w:r>
        <w:br w:type="page"/>
      </w:r>
    </w:p>
    <w:p>
      <w:pPr>
        <w:pStyle w:val="Heading1"/>
      </w:pPr>
      <w:r>
        <w:t>Rapid Q&amp;A guardrails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60"/>
        <w:gridCol w:w="5060"/>
      </w:tblGrid>
      <w:tr>
        <w:trPr>
          <w:tblHeader w:val="true"/>
        </w:trPr>
        <w:tc>
          <w:tcPr>
            <w:tcW w:type="dxa" w:w="5060"/>
            <w:shd w:fill="2B6CB0"/>
          </w:tcPr>
          <w:p>
            <w:r>
              <w:rPr>
                <w:b/>
                <w:color w:val="FFFFFF"/>
                <w:sz w:val="17"/>
              </w:rPr>
              <w:t>Question</w:t>
            </w:r>
          </w:p>
        </w:tc>
        <w:tc>
          <w:tcPr>
            <w:tcW w:type="dxa" w:w="5060"/>
            <w:shd w:fill="2B6CB0"/>
          </w:tcPr>
          <w:p>
            <w:r>
              <w:rPr>
                <w:b/>
                <w:color w:val="FFFFFF"/>
                <w:sz w:val="17"/>
              </w:rPr>
              <w:t>Release-safe answer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Which genome source?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One selected QC-passing Longcycler assembly per analytical episode.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Which analytical denominator?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532 episodes from 161 residents; 16 operational UTI and 516 operational Not_UTI.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Why do pair counts differ?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893 direct pairs include all within-resident comparisons; 371 adjacent transitions are temporally ordered.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What does ≤25 SNPs mean?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It is the operational threshold used for context. 140 adjacent transitions meet it; 5 of 9 focused transitions meet it.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Is the casebook complete?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Yes: 9 cases, 9 linked, 0 missing.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Are near-miss rows UTI cases?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No. The 17-row audit is explicitly separate from operational UTI cases.</w:t>
            </w:r>
          </w:p>
        </w:tc>
      </w:tr>
      <w:tr>
        <w:tc>
          <w:tcPr>
            <w:tcW w:type="dxa" w:w="3024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What is the claim level?</w:t>
            </w:r>
          </w:p>
        </w:tc>
        <w:tc>
          <w:tcPr>
            <w:tcW w:type="dxa" w:w="6912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30"/>
            </w:pPr>
            <w:r>
              <w:rPr>
                <w:sz w:val="17"/>
              </w:rPr>
              <w:t>Exploratory observational analysis. No causal claim.</w:t>
            </w:r>
          </w:p>
        </w:tc>
      </w:tr>
    </w:tbl>
    <w:p>
      <w:pPr>
        <w:pStyle w:val="Heading1"/>
      </w:pPr>
      <w:r>
        <w:t>Registered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73"/>
        <w:gridCol w:w="3373"/>
        <w:gridCol w:w="3373"/>
      </w:tblGrid>
      <w:tr>
        <w:trPr>
          <w:tblHeader w:val="true"/>
        </w:trPr>
        <w:tc>
          <w:tcPr>
            <w:tcW w:type="dxa" w:w="3373"/>
            <w:shd w:fill="2B6CB0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373"/>
            <w:shd w:fill="2B6CB0"/>
          </w:tcPr>
          <w:p>
            <w:r>
              <w:rPr>
                <w:b/>
                <w:color w:val="FFFFFF"/>
                <w:sz w:val="15"/>
              </w:rPr>
              <w:t>Path</w:t>
            </w:r>
          </w:p>
        </w:tc>
        <w:tc>
          <w:tcPr>
            <w:tcW w:type="dxa" w:w="3373"/>
            <w:shd w:fill="2B6CB0"/>
          </w:tcPr>
          <w:p>
            <w:r>
              <w:rPr>
                <w:b/>
                <w:color w:val="FFFFFF"/>
                <w:sz w:val="15"/>
              </w:rPr>
              <w:t>SHA-256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cohort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/Users/Aamir/Desktop/rUTIs/results/clinical/analysis_cohort_longcycler.csv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bd58fe19c43e36567a79e04a8ced7e6d0e53faa50100c042317b01517bbef939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manifest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/Users/Aamir/Desktop/rUTIs/results/qc/analysis_assembly_manifest.csv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de9e96bfc8ff403cfa65ad503380629e63a78cf62e7442bd1a8bfd6da30abac7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vf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/Users/Aamir/Desktop/rUTIs/results/vf/vf_pa_all.csv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24a909ca69bedc08da9fff961162408e806d89028c80c0a3ae80e2e92d50ac35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mlst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/Users/Aamir/Desktop/rUTIs/results/mlst/mlst_provider_preferred.csv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b43be76e7fad03334d8a6f3cc414ff782e1719c56c3ac3c9f8be8b7dca90d148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pairs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/Users/Aamir/Desktop/rUTIs/results/strain_compare/pairwise_metrics.csv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1a818e0e0c18340c38872eae45b832fa9cf3fe92f8f161d47fae286609682350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transitions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/Users/Aamir/Desktop/rUTIs/results/longitudinal/longcycler_transitions.csv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69363e04837ced3a0bc1690e285960b1f4181d4d896be46d3b99b0f09b16c1f3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panaroo_manifest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/Users/Aamir/Desktop/rUTIs/results/wgs/pan/panaroo_input_manifest.csv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8933945d5c3ca8f678a83ae3574bcd92bb6bfd29132eabb0b45bdf599cb3636d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panaroo_roary_compatibility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/Users/Aamir/Desktop/rUTIs/results/wgs/pan/gene_presence_absence_roary.csv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69a03687f69927d917ab5ff92eb681e3ac5fbe8969d1c9732cc9ac30ed81db78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casebook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/Users/Aamir/Desktop/rUTIs/results/mechanism/not_uti_to_uti_casebook.csv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3ef6f95b03ff138ba956ab930fe3ce05e572cc55816930eb38f9037b27ee2636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near_miss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/Users/Aamir/Desktop/rUTIs/results/audit/uti_not_uti_near_miss_rows.csv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29cbab157061080820152cf533e44e0763c7e4c235814bf254661d1e72c2dd90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rq_marker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/Users/Aamir/Desktop/rUTIs/results/research_questions/RUN_COMPLETE.txt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6f320f7d9fd80c262f0be36cde7a6ec87a243b4665696b9612c39cb6586e7413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vf_method_manifest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/Users/Aamir/Desktop/rUTIs/results/research_questions/_inputs/method_manifest.csv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16ed5d9943c744021ac360e036bd724c9f498f5d1a7873937c0ad05962bd179e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project_configuration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/Users/Aamir/Desktop/rUTIs/00_config.R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1cf0bfe800723097de9090f7287760ea0b11653a11dd9755b5b36f7c380cffff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assembly_qc_implementation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/Users/Aamir/Desktop/rUTIs/R/wgs_helpers.R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c8abc92527025d32b722bac493ddb7bfa2fd820d895ac2f965d842954ddd31c9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provider_mlst_implementation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/Users/Aamir/Desktop/rUTIs/R/provider_mlst_integration.R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4ab35394d93562992dec638d9592985defe2dcd68b60e573f5253163de9c720a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vfdb_implementation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/Users/Aamir/Desktop/rUTIs/scripts/research_questions/run_rq06_08.R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7681c10fd92169db6754c446f27164cefe3b61b29c53593d7058728e6d2b538a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direct_pair_implementation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/Users/Aamir/Desktop/rUTIs/11_compare_strains.R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2a725dc70be9d1f266fe21edf489967a331b4346ee2434fb7114e0fd99aae148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core_genome_implementation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/Users/Aamir/Desktop/rUTIs/12b_core_snp.R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7555e6484b78e9c683091353211db0855beee2713bccfb6c2124391e5ea33278</w:t>
            </w:r>
          </w:p>
        </w:tc>
      </w:tr>
      <w:tr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sz w:val="13"/>
              </w:rPr>
              <w:t>pangenome_implementation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/Users/Aamir/Desktop/rUTIs/12c_panaroo.R</w:t>
            </w:r>
          </w:p>
        </w:tc>
        <w:tc>
          <w:tcPr>
            <w:tcW w:type="dxa" w:w="3373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>
              <w:rPr>
                <w:rFonts w:ascii="Aptos Mono" w:hAnsi="Aptos Mono"/>
                <w:sz w:val="13"/>
              </w:rPr>
              <w:t>0e009e69df4a15ede4e4b4246d24db07f3f71064cba5ee297b839efedca9d9ed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4748B"/>
        <w:sz w:val="15"/>
      </w:rPr>
      <w:t xml:space="preserve">Selected analytical release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ptos" w:hAnsi="Aptos"/>
        <w:color w:val="64748B"/>
        <w:sz w:val="15"/>
      </w:rPr>
      <w:t>LONGCYCLER-ONLY PRESENTER GUIDE  |  OPERATIONAL UTI PHENOTYPE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B6CB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855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