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</w:pPr>
      <w:r>
        <w:rPr>
          <w:rFonts w:ascii="Aptos" w:hAnsi="Aptos"/>
          <w:b/>
          <w:color w:val="2B6CB0"/>
          <w:sz w:val="18"/>
        </w:rPr>
        <w:t>PRESENTER FIELD GUIDE  /  CURRENT LONGCYCLER RELEASE</w:t>
      </w:r>
    </w:p>
    <w:p>
      <w:pPr>
        <w:pStyle w:val="Title"/>
      </w:pPr>
      <w:r>
        <w:t>Longitudinal urinary E. coli</w:t>
        <w:br/>
        <w:t>virulence-factor review</w:t>
      </w:r>
    </w:p>
    <w:p>
      <w:pPr>
        <w:spacing w:after="200"/>
      </w:pPr>
      <w:r>
        <w:rPr>
          <w:color w:val="64748B"/>
          <w:sz w:val="24"/>
        </w:rPr>
        <w:t>Canonical guide for the 17-slide compact onboarding review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73"/>
        <w:gridCol w:w="3373"/>
        <w:gridCol w:w="3373"/>
      </w:tblGrid>
      <w:tr>
        <w:tc>
          <w:tcPr>
            <w:tcW w:type="dxa" w:w="3240"/>
            <w:vAlign w:val="center"/>
            <w:shd w:fill="F8FAF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</w:tcPr>
          <w:p>
            <w:pPr>
              <w:spacing w:after="0"/>
            </w:pPr>
            <w:r>
              <w:rPr>
                <w:b/>
                <w:color w:val="2B6CB0"/>
                <w:sz w:val="16"/>
              </w:rPr>
              <w:t>Analytical cohort</w:t>
              <w:br/>
            </w:r>
            <w:r>
              <w:rPr>
                <w:color w:val="111827"/>
                <w:sz w:val="17"/>
              </w:rPr>
              <w:t>532 episodes / 161 residents</w:t>
            </w:r>
          </w:p>
        </w:tc>
        <w:tc>
          <w:tcPr>
            <w:tcW w:type="dxa" w:w="3240"/>
            <w:vAlign w:val="center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</w:tcPr>
          <w:p>
            <w:pPr>
              <w:spacing w:after="0"/>
            </w:pPr>
            <w:r>
              <w:rPr>
                <w:b/>
                <w:color w:val="2B6CB0"/>
                <w:sz w:val="16"/>
              </w:rPr>
              <w:t>Operational phenotype</w:t>
              <w:br/>
            </w:r>
            <w:r>
              <w:rPr>
                <w:color w:val="111827"/>
                <w:sz w:val="17"/>
              </w:rPr>
              <w:t>16 UTI / 516 Not_UTI</w:t>
            </w:r>
          </w:p>
        </w:tc>
        <w:tc>
          <w:tcPr>
            <w:tcW w:type="dxa" w:w="3240"/>
            <w:vAlign w:val="center"/>
            <w:shd w:fill="F8FAF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</w:tcPr>
          <w:p>
            <w:pPr>
              <w:spacing w:after="0"/>
            </w:pPr>
            <w:r>
              <w:rPr>
                <w:b/>
                <w:color w:val="2B6CB0"/>
                <w:sz w:val="16"/>
              </w:rPr>
              <w:t>Longitudinal evidence</w:t>
              <w:br/>
            </w:r>
            <w:r>
              <w:rPr>
                <w:color w:val="111827"/>
                <w:sz w:val="17"/>
              </w:rPr>
              <w:t>893 direct / 371 adjacent</w:t>
            </w:r>
          </w:p>
        </w:tc>
      </w:tr>
      <w:tr>
        <w:tc>
          <w:tcPr>
            <w:tcW w:type="dxa" w:w="3240"/>
            <w:vAlign w:val="center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</w:tcPr>
          <w:p>
            <w:pPr>
              <w:spacing w:after="0"/>
            </w:pPr>
            <w:r>
              <w:rPr>
                <w:b/>
                <w:color w:val="2B6CB0"/>
                <w:sz w:val="16"/>
              </w:rPr>
              <w:t>Focused transition view</w:t>
              <w:br/>
            </w:r>
            <w:r>
              <w:rPr>
                <w:color w:val="111827"/>
                <w:sz w:val="17"/>
              </w:rPr>
              <w:t>9 cases / 5 ≤25 SNPs</w:t>
            </w:r>
          </w:p>
        </w:tc>
        <w:tc>
          <w:tcPr>
            <w:tcW w:type="dxa" w:w="3240"/>
            <w:vAlign w:val="center"/>
            <w:shd w:fill="F8FAFC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</w:tcPr>
          <w:p>
            <w:pPr>
              <w:spacing w:after="0"/>
            </w:pPr>
            <w:r>
              <w:rPr>
                <w:b/>
                <w:color w:val="2B6CB0"/>
                <w:sz w:val="16"/>
              </w:rPr>
              <w:t>Mechanism casebook</w:t>
              <w:br/>
            </w:r>
            <w:r>
              <w:rPr>
                <w:color w:val="111827"/>
                <w:sz w:val="17"/>
              </w:rPr>
              <w:t>9/9/0 cases/linked/missing</w:t>
            </w:r>
          </w:p>
        </w:tc>
        <w:tc>
          <w:tcPr>
            <w:tcW w:type="dxa" w:w="3240"/>
            <w:vAlign w:val="center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</w:tcPr>
          <w:p>
            <w:pPr>
              <w:spacing w:after="0"/>
            </w:pPr>
            <w:r>
              <w:rPr>
                <w:b/>
                <w:color w:val="2B6CB0"/>
                <w:sz w:val="16"/>
              </w:rPr>
              <w:t>Research questions</w:t>
              <w:br/>
            </w:r>
            <w:r>
              <w:rPr>
                <w:color w:val="111827"/>
                <w:sz w:val="17"/>
              </w:rPr>
              <w:t>RQ01–RQ10</w:t>
            </w:r>
          </w:p>
        </w:tc>
      </w:tr>
    </w:tbl>
    <w:p>
      <w:pPr>
        <w:pStyle w:val="Heading1"/>
      </w:pPr>
      <w:r>
        <w:t>How to use this guide</w:t>
      </w:r>
    </w:p>
    <w:p>
      <w:pPr>
        <w:keepLines/>
        <w:spacing w:after="60"/>
      </w:pPr>
      <w:r>
        <w:rPr>
          <w:b/>
          <w:color w:val="2B6CB0"/>
        </w:rPr>
        <w:t xml:space="preserve">Say: </w:t>
      </w:r>
      <w:r>
        <w:t>Use the short script as the spoken spine; pause on plots and let the evidence carry the slide.</w:t>
      </w:r>
    </w:p>
    <w:p>
      <w:pPr>
        <w:keepLines/>
        <w:spacing w:after="60"/>
      </w:pPr>
      <w:r>
        <w:rPr>
          <w:b/>
          <w:color w:val="2F855A"/>
        </w:rPr>
        <w:t xml:space="preserve">Emphasise: </w:t>
      </w:r>
      <w:r>
        <w:t>Every analytical claim is registry-bound and selected Longcycler only.</w:t>
      </w:r>
    </w:p>
    <w:p>
      <w:pPr>
        <w:keepLines/>
        <w:spacing w:after="60"/>
      </w:pPr>
      <w:r>
        <w:rPr>
          <w:b/>
          <w:color w:val="D97706"/>
        </w:rPr>
        <w:t xml:space="preserve">Boundary: </w:t>
      </w:r>
      <w:r>
        <w:t>Operational UTI is exploratory observational context; no causal claim is supported.</w:t>
      </w:r>
    </w:p>
    <w:p>
      <w:pPr>
        <w:pStyle w:val="Heading2"/>
      </w:pPr>
      <w:r>
        <w:t>Release provenance</w:t>
      </w:r>
    </w:p>
    <w:p>
      <w:pPr>
        <w:spacing w:after="0"/>
      </w:pPr>
      <w:r>
        <w:rPr>
          <w:b/>
        </w:rPr>
        <w:t xml:space="preserve">Registry: </w:t>
      </w:r>
      <w:r>
        <w:t>/Users/Aamir/Desktop/rUTIs/results/pipeline/longcycler_release_claim_registry.json</w:t>
      </w:r>
      <w:r>
        <w:rPr>
          <w:b/>
        </w:rPr>
        <w:br/>
        <w:t xml:space="preserve">SHA-256: </w:t>
      </w:r>
      <w:r>
        <w:t>87f65979259a4c92545afbb74b5d3a8efffb8a3d18cd2481df165b97e5c6d30e</w:t>
      </w:r>
    </w:p>
    <w:p>
      <w:r>
        <w:br w:type="page"/>
      </w:r>
    </w:p>
    <w:p>
      <w:pPr>
        <w:pStyle w:val="Heading1"/>
      </w:pPr>
      <w:r>
        <w:t>Slide-by-slide script</w:t>
      </w:r>
    </w:p>
    <w:p>
      <w:r>
        <w:rPr>
          <w:color w:val="64748B"/>
        </w:rPr>
        <w:t>17 slides. Suggested cadence: 35–70 seconds per spoken slide; appendix slides are question-led.</w:t>
      </w:r>
    </w:p>
    <w:p>
      <w:pPr>
        <w:pStyle w:val="Heading2"/>
        <w:keepNext/>
      </w:pPr>
      <w:r>
        <w:t>Slide 01 — Title and release anchors</w:t>
      </w:r>
    </w:p>
    <w:p>
      <w:pPr>
        <w:keepLines/>
        <w:spacing w:after="60"/>
      </w:pPr>
      <w:r>
        <w:rPr>
          <w:b/>
          <w:color w:val="2B6CB0"/>
        </w:rPr>
        <w:t xml:space="preserve">Say: </w:t>
      </w:r>
      <w:r>
        <w:t>Open with the selected analytical denominator: 532 episodes from 161 residents, with 371 adjacent transitions and 16 operational UTI episodes.</w:t>
      </w:r>
    </w:p>
    <w:p>
      <w:pPr>
        <w:keepLines/>
        <w:spacing w:after="60"/>
      </w:pPr>
      <w:r>
        <w:rPr>
          <w:b/>
          <w:color w:val="2F855A"/>
        </w:rPr>
        <w:t xml:space="preserve">Emphasise: </w:t>
      </w:r>
      <w:r>
        <w:t>The whole review is selected QC-passing Longcycler only.</w:t>
      </w:r>
    </w:p>
    <w:p>
      <w:pPr>
        <w:keepLines/>
        <w:spacing w:after="60"/>
      </w:pPr>
      <w:r>
        <w:rPr>
          <w:b/>
          <w:color w:val="D97706"/>
        </w:rPr>
        <w:t xml:space="preserve">Boundary: </w:t>
      </w:r>
      <w:r>
        <w:t>Operational UTI is an exploratory annotation, not the organising genome source.</w:t>
      </w:r>
    </w:p>
    <w:p>
      <w:pPr>
        <w:pStyle w:val="Heading2"/>
        <w:keepNext/>
      </w:pPr>
      <w:r>
        <w:t>Slide 02 — Plain-English loop</w:t>
      </w:r>
    </w:p>
    <w:p>
      <w:pPr>
        <w:keepLines/>
        <w:spacing w:after="60"/>
      </w:pPr>
      <w:r>
        <w:rPr>
          <w:b/>
          <w:color w:val="2B6CB0"/>
        </w:rPr>
        <w:t xml:space="preserve">Say: </w:t>
      </w:r>
      <w:r>
        <w:t>Walk from clinical episode to selected genome, binary VF row, longitudinal comparison, and finally the clinical overlay.</w:t>
      </w:r>
    </w:p>
    <w:p>
      <w:pPr>
        <w:keepLines/>
        <w:spacing w:after="60"/>
      </w:pPr>
      <w:r>
        <w:rPr>
          <w:b/>
          <w:color w:val="2F855A"/>
        </w:rPr>
        <w:t xml:space="preserve">Emphasise: </w:t>
      </w:r>
      <w:r>
        <w:t>The genome source is selected QC-passing Longcycler only.</w:t>
      </w:r>
    </w:p>
    <w:p>
      <w:pPr>
        <w:keepLines/>
        <w:spacing w:after="60"/>
      </w:pPr>
      <w:r>
        <w:rPr>
          <w:b/>
          <w:color w:val="D97706"/>
        </w:rPr>
        <w:t xml:space="preserve">Boundary: </w:t>
      </w:r>
      <w:r>
        <w:t>Do not collapse episodes, residents, pairs, and transitions into one unit.</w:t>
      </w:r>
    </w:p>
    <w:p>
      <w:pPr>
        <w:pStyle w:val="Heading2"/>
        <w:keepNext/>
      </w:pPr>
      <w:r>
        <w:t>Slide 03 — Denominator units</w:t>
      </w:r>
    </w:p>
    <w:p>
      <w:pPr>
        <w:keepLines/>
        <w:spacing w:after="60"/>
      </w:pPr>
      <w:r>
        <w:rPr>
          <w:b/>
          <w:color w:val="2B6CB0"/>
        </w:rPr>
        <w:t xml:space="preserve">Say: </w:t>
      </w:r>
      <w:r>
        <w:t>Explain why the counts change: 583 source episodes retained only for attrition/QC context, 532 selected analytical episodes, 893 direct pairs, and 371 adjacent transitions.</w:t>
      </w:r>
    </w:p>
    <w:p>
      <w:pPr>
        <w:keepLines/>
        <w:spacing w:after="60"/>
      </w:pPr>
      <w:r>
        <w:rPr>
          <w:b/>
          <w:color w:val="2F855A"/>
        </w:rPr>
        <w:t xml:space="preserve">Emphasise: </w:t>
      </w:r>
      <w:r>
        <w:t>Name the unit whenever a number appears.</w:t>
      </w:r>
    </w:p>
    <w:p>
      <w:pPr>
        <w:keepLines/>
        <w:spacing w:after="60"/>
      </w:pPr>
      <w:r>
        <w:rPr>
          <w:b/>
          <w:color w:val="D97706"/>
        </w:rPr>
        <w:t xml:space="preserve">Boundary: </w:t>
      </w:r>
      <w:r>
        <w:t>Source/QC counts do not replace analytical counts.</w:t>
      </w:r>
    </w:p>
    <w:p>
      <w:pPr>
        <w:pStyle w:val="Heading2"/>
        <w:keepNext/>
      </w:pPr>
      <w:r>
        <w:t>Slide 04 — Operational phenotype</w:t>
      </w:r>
    </w:p>
    <w:p>
      <w:pPr>
        <w:keepLines/>
        <w:spacing w:after="60"/>
      </w:pPr>
      <w:r>
        <w:rPr>
          <w:b/>
          <w:color w:val="2B6CB0"/>
        </w:rPr>
        <w:t xml:space="preserve">Say: </w:t>
      </w:r>
      <w:r>
        <w:t>Explain the project annotation that yields 16 operational UTI and 516 operational Not_UTI selected episodes.</w:t>
      </w:r>
    </w:p>
    <w:p>
      <w:pPr>
        <w:keepLines/>
        <w:spacing w:after="60"/>
      </w:pPr>
      <w:r>
        <w:rPr>
          <w:b/>
          <w:color w:val="2F855A"/>
        </w:rPr>
        <w:t xml:space="preserve">Emphasise: </w:t>
      </w:r>
      <w:r>
        <w:t>Not_UTI is a mixed comparator.</w:t>
      </w:r>
    </w:p>
    <w:p>
      <w:pPr>
        <w:keepLines/>
        <w:spacing w:after="60"/>
      </w:pPr>
      <w:r>
        <w:rPr>
          <w:b/>
          <w:color w:val="D97706"/>
        </w:rPr>
        <w:t xml:space="preserve">Boundary: </w:t>
      </w:r>
      <w:r>
        <w:t>The operational label is not a universal clinical diagnosis.</w:t>
      </w:r>
    </w:p>
    <w:p>
      <w:pPr>
        <w:spacing w:after="40"/>
      </w:pPr>
    </w:p>
    <w:p>
      <w:pPr>
        <w:pStyle w:val="Heading2"/>
        <w:keepNext/>
      </w:pPr>
      <w:r>
        <w:t>Slide 05 — Selected cohort</w:t>
      </w:r>
    </w:p>
    <w:p>
      <w:pPr>
        <w:keepLines/>
        <w:spacing w:after="60"/>
      </w:pPr>
      <w:r>
        <w:rPr>
          <w:b/>
          <w:color w:val="2B6CB0"/>
        </w:rPr>
        <w:t xml:space="preserve">Say: </w:t>
      </w:r>
      <w:r>
        <w:t>The release cohort is 532 episodes, 161 residents, 16 operational UTI, and 516 operational Not_UTI.</w:t>
      </w:r>
    </w:p>
    <w:p>
      <w:pPr>
        <w:keepLines/>
        <w:spacing w:after="60"/>
      </w:pPr>
      <w:r>
        <w:rPr>
          <w:b/>
          <w:color w:val="2F855A"/>
        </w:rPr>
        <w:t xml:space="preserve">Emphasise: </w:t>
      </w:r>
      <w:r>
        <w:t>There are 227 binary VF features in the current release.</w:t>
      </w:r>
    </w:p>
    <w:p>
      <w:pPr>
        <w:keepLines/>
        <w:spacing w:after="60"/>
      </w:pPr>
      <w:r>
        <w:rPr>
          <w:b/>
          <w:color w:val="D97706"/>
        </w:rPr>
        <w:t xml:space="preserve">Boundary: </w:t>
      </w:r>
      <w:r>
        <w:t>Not_UTI is a mixed comparator, not one biological state.</w:t>
      </w:r>
    </w:p>
    <w:p>
      <w:pPr>
        <w:pStyle w:val="Heading2"/>
        <w:keepNext/>
      </w:pPr>
      <w:r>
        <w:t>Slide 06 — VF representation</w:t>
      </w:r>
    </w:p>
    <w:p>
      <w:pPr>
        <w:keepLines/>
        <w:spacing w:after="60"/>
      </w:pPr>
      <w:r>
        <w:rPr>
          <w:b/>
          <w:color w:val="2B6CB0"/>
        </w:rPr>
        <w:t xml:space="preserve">Say: </w:t>
      </w:r>
      <w:r>
        <w:t>Each selected episode is represented by 227 binary VF features, then summarised through curated modules and longitudinal comparisons.</w:t>
      </w:r>
    </w:p>
    <w:p>
      <w:pPr>
        <w:keepLines/>
        <w:spacing w:after="60"/>
      </w:pPr>
      <w:r>
        <w:rPr>
          <w:b/>
          <w:color w:val="2F855A"/>
        </w:rPr>
        <w:t xml:space="preserve">Emphasise: </w:t>
      </w:r>
      <w:r>
        <w:t>Genes remain the underlying evidence even when modules are shown.</w:t>
      </w:r>
    </w:p>
    <w:p>
      <w:pPr>
        <w:keepLines/>
        <w:spacing w:after="60"/>
      </w:pPr>
      <w:r>
        <w:rPr>
          <w:b/>
          <w:color w:val="D97706"/>
        </w:rPr>
        <w:t xml:space="preserve">Boundary: </w:t>
      </w:r>
      <w:r>
        <w:t>Presence/absence is not expression, activity, or causality.</w:t>
      </w:r>
    </w:p>
    <w:p>
      <w:pPr>
        <w:pStyle w:val="Heading2"/>
        <w:keepNext/>
      </w:pPr>
      <w:r>
        <w:t>Slide 07 — Paired repertoire views</w:t>
      </w:r>
    </w:p>
    <w:p>
      <w:pPr>
        <w:keepLines/>
        <w:spacing w:after="60"/>
      </w:pPr>
      <w:r>
        <w:rPr>
          <w:b/>
          <w:color w:val="2B6CB0"/>
        </w:rPr>
        <w:t xml:space="preserve">Say: </w:t>
      </w:r>
      <w:r>
        <w:t>Show gene-level prevalence and curated module structure together as two descriptive views of the same selected cohort.</w:t>
      </w:r>
    </w:p>
    <w:p>
      <w:pPr>
        <w:keepLines/>
        <w:spacing w:after="60"/>
      </w:pPr>
      <w:r>
        <w:rPr>
          <w:b/>
          <w:color w:val="2F855A"/>
        </w:rPr>
        <w:t xml:space="preserve">Emphasise: </w:t>
      </w:r>
      <w:r>
        <w:t>The current release contains 227 binary VF features.</w:t>
      </w:r>
    </w:p>
    <w:p>
      <w:pPr>
        <w:keepLines/>
        <w:spacing w:after="60"/>
      </w:pPr>
      <w:r>
        <w:rPr>
          <w:b/>
          <w:color w:val="D97706"/>
        </w:rPr>
        <w:t xml:space="preserve">Boundary: </w:t>
      </w:r>
      <w:r>
        <w:t>Neither plot is a causal clinical model.</w:t>
      </w:r>
    </w:p>
    <w:p>
      <w:pPr>
        <w:pStyle w:val="Heading2"/>
        <w:keepNext/>
      </w:pPr>
      <w:r>
        <w:t>Slide 08 — Pair-layer stability</w:t>
      </w:r>
    </w:p>
    <w:p>
      <w:pPr>
        <w:keepLines/>
        <w:spacing w:after="60"/>
      </w:pPr>
      <w:r>
        <w:rPr>
          <w:b/>
          <w:color w:val="2B6CB0"/>
        </w:rPr>
        <w:t xml:space="preserve">Say: </w:t>
      </w:r>
      <w:r>
        <w:t>Describe VF similarity using 893 direct pairs and 371 adjacent transitions from 139 residents.</w:t>
      </w:r>
    </w:p>
    <w:p>
      <w:pPr>
        <w:keepLines/>
        <w:spacing w:after="60"/>
      </w:pPr>
      <w:r>
        <w:rPr>
          <w:b/>
          <w:color w:val="2F855A"/>
        </w:rPr>
        <w:t xml:space="preserve">Emphasise: </w:t>
      </w:r>
      <w:r>
        <w:t>Use adjacent transitions for temporal questions.</w:t>
      </w:r>
    </w:p>
    <w:p>
      <w:pPr>
        <w:keepLines/>
        <w:spacing w:after="60"/>
      </w:pPr>
      <w:r>
        <w:rPr>
          <w:b/>
          <w:color w:val="D97706"/>
        </w:rPr>
        <w:t xml:space="preserve">Boundary: </w:t>
      </w:r>
      <w:r>
        <w:t>Do not reuse an earlier plot denominator.</w:t>
      </w:r>
    </w:p>
    <w:p>
      <w:pPr>
        <w:spacing w:after="40"/>
      </w:pPr>
    </w:p>
    <w:p>
      <w:pPr>
        <w:pStyle w:val="Heading2"/>
        <w:keepNext/>
      </w:pPr>
      <w:r>
        <w:t>Slide 09 — Gain and loss</w:t>
      </w:r>
    </w:p>
    <w:p>
      <w:pPr>
        <w:keepLines/>
        <w:spacing w:after="60"/>
      </w:pPr>
      <w:r>
        <w:rPr>
          <w:b/>
          <w:color w:val="2B6CB0"/>
        </w:rPr>
        <w:t xml:space="preserve">Say: </w:t>
      </w:r>
      <w:r>
        <w:t>Use the 371 adjacent transitions to identify candidate VF gains and losses for follow-up.</w:t>
      </w:r>
    </w:p>
    <w:p>
      <w:pPr>
        <w:keepLines/>
        <w:spacing w:after="60"/>
      </w:pPr>
      <w:r>
        <w:rPr>
          <w:b/>
          <w:color w:val="2F855A"/>
        </w:rPr>
        <w:t xml:space="preserve">Emphasise: </w:t>
      </w:r>
      <w:r>
        <w:t>Interpret change with lineage, genome distance, and QC context.</w:t>
      </w:r>
    </w:p>
    <w:p>
      <w:pPr>
        <w:keepLines/>
        <w:spacing w:after="60"/>
      </w:pPr>
      <w:r>
        <w:rPr>
          <w:b/>
          <w:color w:val="D97706"/>
        </w:rPr>
        <w:t xml:space="preserve">Boundary: </w:t>
      </w:r>
      <w:r>
        <w:t>A detected change may reflect replacement or calling differences as well as true gene-content change.</w:t>
      </w:r>
    </w:p>
    <w:p>
      <w:pPr>
        <w:pStyle w:val="Heading2"/>
        <w:keepNext/>
      </w:pPr>
      <w:r>
        <w:t>Slide 10 — MLST context</w:t>
      </w:r>
    </w:p>
    <w:p>
      <w:pPr>
        <w:keepLines/>
        <w:spacing w:after="60"/>
      </w:pPr>
      <w:r>
        <w:rPr>
          <w:b/>
          <w:color w:val="2B6CB0"/>
        </w:rPr>
        <w:t xml:space="preserve">Say: </w:t>
      </w:r>
      <w:r>
        <w:t>Preferred MLST labels are available for 493 selected episodes across 76 distinct labels.</w:t>
      </w:r>
    </w:p>
    <w:p>
      <w:pPr>
        <w:keepLines/>
        <w:spacing w:after="60"/>
      </w:pPr>
      <w:r>
        <w:rPr>
          <w:b/>
          <w:color w:val="2F855A"/>
        </w:rPr>
        <w:t xml:space="preserve">Emphasise: </w:t>
      </w:r>
      <w:r>
        <w:t>Use lineage as a diagnostic layer before status interpretation.</w:t>
      </w:r>
    </w:p>
    <w:p>
      <w:pPr>
        <w:keepLines/>
        <w:spacing w:after="60"/>
      </w:pPr>
      <w:r>
        <w:rPr>
          <w:b/>
          <w:color w:val="D97706"/>
        </w:rPr>
        <w:t xml:space="preserve">Boundary: </w:t>
      </w:r>
      <w:r>
        <w:t>ST agreement does not prove the same strain.</w:t>
      </w:r>
    </w:p>
    <w:p>
      <w:pPr>
        <w:pStyle w:val="Heading2"/>
        <w:keepNext/>
      </w:pPr>
      <w:r>
        <w:t>Slide 11 — Exploratory clinical overlay</w:t>
      </w:r>
    </w:p>
    <w:p>
      <w:pPr>
        <w:keepLines/>
        <w:spacing w:after="60"/>
      </w:pPr>
      <w:r>
        <w:rPr>
          <w:b/>
          <w:color w:val="2B6CB0"/>
        </w:rPr>
        <w:t xml:space="preserve">Say: </w:t>
      </w:r>
      <w:r>
        <w:t>The selected phenotype split is 16 operational UTI versus 516 operational Not_UTI episodes.</w:t>
      </w:r>
    </w:p>
    <w:p>
      <w:pPr>
        <w:keepLines/>
        <w:spacing w:after="60"/>
      </w:pPr>
      <w:r>
        <w:rPr>
          <w:b/>
          <w:color w:val="2F855A"/>
        </w:rPr>
        <w:t xml:space="preserve">Emphasise: </w:t>
      </w:r>
      <w:r>
        <w:t>The clinical model is hypothesis-generating and participant-aware.</w:t>
      </w:r>
    </w:p>
    <w:p>
      <w:pPr>
        <w:keepLines/>
        <w:spacing w:after="60"/>
      </w:pPr>
      <w:r>
        <w:rPr>
          <w:b/>
          <w:color w:val="D97706"/>
        </w:rPr>
        <w:t xml:space="preserve">Boundary: </w:t>
      </w:r>
      <w:r>
        <w:t>No causal or confirmatory VF status claim is supported by the sparse phenotype denominator.</w:t>
      </w:r>
    </w:p>
    <w:p>
      <w:pPr>
        <w:pStyle w:val="Heading2"/>
        <w:keepNext/>
      </w:pPr>
      <w:r>
        <w:t>Slide 12 — Aggregate focused transitions</w:t>
      </w:r>
    </w:p>
    <w:p>
      <w:pPr>
        <w:keepLines/>
        <w:spacing w:after="60"/>
      </w:pPr>
      <w:r>
        <w:rPr>
          <w:b/>
          <w:color w:val="2B6CB0"/>
        </w:rPr>
        <w:t xml:space="preserve">Say: </w:t>
      </w:r>
      <w:r>
        <w:t>There are 9 focused Not_UTI-to-UTI adjacent transitions; 5 are at or below 25 SNPs. The casebook is 9/9/0 cases/linked/missing.</w:t>
      </w:r>
    </w:p>
    <w:p>
      <w:pPr>
        <w:keepLines/>
        <w:spacing w:after="60"/>
      </w:pPr>
      <w:r>
        <w:rPr>
          <w:b/>
          <w:color w:val="2F855A"/>
        </w:rPr>
        <w:t xml:space="preserve">Emphasise: </w:t>
      </w:r>
      <w:r>
        <w:t>Report the aggregate casebook, not a single anecdote.</w:t>
      </w:r>
    </w:p>
    <w:p>
      <w:pPr>
        <w:keepLines/>
        <w:spacing w:after="60"/>
      </w:pPr>
      <w:r>
        <w:rPr>
          <w:b/>
          <w:color w:val="D97706"/>
        </w:rPr>
        <w:t xml:space="preserve">Boundary: </w:t>
      </w:r>
      <w:r>
        <w:t>Low genome distance cannot identify host-state change or bacterial regulation by itself.</w:t>
      </w:r>
    </w:p>
    <w:p>
      <w:pPr>
        <w:spacing w:after="40"/>
      </w:pPr>
    </w:p>
    <w:p>
      <w:pPr>
        <w:pStyle w:val="Heading2"/>
        <w:keepNext/>
      </w:pPr>
      <w:r>
        <w:t>Slide 13 — Evidence, boundary, next steps</w:t>
      </w:r>
    </w:p>
    <w:p>
      <w:pPr>
        <w:keepLines/>
        <w:spacing w:after="60"/>
      </w:pPr>
      <w:r>
        <w:rPr>
          <w:b/>
          <w:color w:val="2B6CB0"/>
        </w:rPr>
        <w:t xml:space="preserve">Say: </w:t>
      </w:r>
      <w:r>
        <w:t>Land on three messages: the selected longitudinal evidence is coherent; the clinical phenotype remains sparse; and follow-up must be lineage-aware.</w:t>
      </w:r>
    </w:p>
    <w:p>
      <w:pPr>
        <w:keepLines/>
        <w:spacing w:after="60"/>
      </w:pPr>
      <w:r>
        <w:rPr>
          <w:b/>
          <w:color w:val="2F855A"/>
        </w:rPr>
        <w:t xml:space="preserve">Emphasise: </w:t>
      </w:r>
      <w:r>
        <w:t>Ask what extra evidence would distinguish bacterial change from host-state and sampling effects.</w:t>
      </w:r>
    </w:p>
    <w:p>
      <w:pPr>
        <w:keepLines/>
        <w:spacing w:after="60"/>
      </w:pPr>
      <w:r>
        <w:rPr>
          <w:b/>
          <w:color w:val="D97706"/>
        </w:rPr>
        <w:t xml:space="preserve">Boundary: </w:t>
      </w:r>
      <w:r>
        <w:t>Keep causal interpretation outside the supported claim set.</w:t>
      </w:r>
    </w:p>
    <w:p>
      <w:pPr>
        <w:pStyle w:val="Heading2"/>
        <w:keepNext/>
      </w:pPr>
      <w:r>
        <w:t>Slide 14 — Operational handover</w:t>
      </w:r>
    </w:p>
    <w:p>
      <w:pPr>
        <w:keepLines/>
        <w:spacing w:after="60"/>
      </w:pPr>
      <w:r>
        <w:rPr>
          <w:b/>
          <w:color w:val="2B6CB0"/>
        </w:rPr>
        <w:t xml:space="preserve">Say: </w:t>
      </w:r>
      <w:r>
        <w:t>Point to the selected manifest, clinical key, VF matrix, pair tables, transition casebook, and RQ01–RQ10 runner.</w:t>
      </w:r>
    </w:p>
    <w:p>
      <w:pPr>
        <w:keepLines/>
        <w:spacing w:after="60"/>
      </w:pPr>
      <w:r>
        <w:rPr>
          <w:b/>
          <w:color w:val="2F855A"/>
        </w:rPr>
        <w:t xml:space="preserve">Emphasise: </w:t>
      </w:r>
      <w:r>
        <w:t>The release claim registry is the provenance anchor.</w:t>
      </w:r>
    </w:p>
    <w:p>
      <w:pPr>
        <w:keepLines/>
        <w:spacing w:after="60"/>
      </w:pPr>
      <w:r>
        <w:rPr>
          <w:b/>
          <w:color w:val="D97706"/>
        </w:rPr>
        <w:t xml:space="preserve">Boundary: </w:t>
      </w:r>
      <w:r>
        <w:t>Do not use an unregistered intermediate as a release source.</w:t>
      </w:r>
    </w:p>
    <w:p>
      <w:pPr>
        <w:pStyle w:val="Heading2"/>
        <w:keepNext/>
      </w:pPr>
      <w:r>
        <w:t>Slide 15 — Numbered pipeline</w:t>
      </w:r>
    </w:p>
    <w:p>
      <w:pPr>
        <w:keepLines/>
        <w:spacing w:after="60"/>
      </w:pPr>
      <w:r>
        <w:rPr>
          <w:b/>
          <w:color w:val="2B6CB0"/>
        </w:rPr>
        <w:t xml:space="preserve">Say: </w:t>
      </w:r>
      <w:r>
        <w:t>Walk through the validated clinical-to-VF handoffs and point to the RQ01–RQ10 release layer.</w:t>
      </w:r>
    </w:p>
    <w:p>
      <w:pPr>
        <w:keepLines/>
        <w:spacing w:after="60"/>
      </w:pPr>
      <w:r>
        <w:rPr>
          <w:b/>
          <w:color w:val="2F855A"/>
        </w:rPr>
        <w:t xml:space="preserve">Emphasise: </w:t>
      </w:r>
      <w:r>
        <w:t>Each stage consumes the same selected cohort.</w:t>
      </w:r>
    </w:p>
    <w:p>
      <w:pPr>
        <w:keepLines/>
        <w:spacing w:after="60"/>
      </w:pPr>
      <w:r>
        <w:rPr>
          <w:b/>
          <w:color w:val="D97706"/>
        </w:rPr>
        <w:t xml:space="preserve">Boundary: </w:t>
      </w:r>
      <w:r>
        <w:t>Do not introduce an alternate assembly path.</w:t>
      </w:r>
    </w:p>
    <w:p>
      <w:pPr>
        <w:pStyle w:val="Heading2"/>
        <w:keepNext/>
      </w:pPr>
      <w:r>
        <w:t>Slide 16 — Complete mechanism casebook</w:t>
      </w:r>
    </w:p>
    <w:p>
      <w:pPr>
        <w:keepLines/>
        <w:spacing w:after="60"/>
      </w:pPr>
      <w:r>
        <w:rPr>
          <w:b/>
          <w:color w:val="2B6CB0"/>
        </w:rPr>
        <w:t xml:space="preserve">Say: </w:t>
      </w:r>
      <w:r>
        <w:t>The focused mechanism casebook contains 9 cases, all 9 linked, with 0 missing endpoints.</w:t>
      </w:r>
    </w:p>
    <w:p>
      <w:pPr>
        <w:keepLines/>
        <w:spacing w:after="60"/>
      </w:pPr>
      <w:r>
        <w:rPr>
          <w:b/>
          <w:color w:val="2F855A"/>
        </w:rPr>
        <w:t xml:space="preserve">Emphasise: </w:t>
      </w:r>
      <w:r>
        <w:t>Use the evidence matrix to show heterogeneity across cases.</w:t>
      </w:r>
    </w:p>
    <w:p>
      <w:pPr>
        <w:keepLines/>
        <w:spacing w:after="60"/>
      </w:pPr>
      <w:r>
        <w:rPr>
          <w:b/>
          <w:color w:val="D97706"/>
        </w:rPr>
        <w:t xml:space="preserve">Boundary: </w:t>
      </w:r>
      <w:r>
        <w:t>Buckets organise evidence; they do not prove mechanism.</w:t>
      </w:r>
    </w:p>
    <w:p>
      <w:pPr>
        <w:spacing w:after="40"/>
      </w:pPr>
    </w:p>
    <w:p>
      <w:pPr>
        <w:pStyle w:val="Heading2"/>
        <w:keepNext/>
      </w:pPr>
      <w:r>
        <w:t>Slide 17 — Robustness and lineage diagnostics</w:t>
      </w:r>
    </w:p>
    <w:p>
      <w:pPr>
        <w:keepLines/>
        <w:spacing w:after="60"/>
      </w:pPr>
      <w:r>
        <w:rPr>
          <w:b/>
          <w:color w:val="2B6CB0"/>
        </w:rPr>
        <w:t xml:space="preserve">Say: </w:t>
      </w:r>
      <w:r>
        <w:t>Keep the robustness plot beside the lineage PCoA. The 17-row near-miss audit remains separate from operational UTI cases.</w:t>
      </w:r>
    </w:p>
    <w:p>
      <w:pPr>
        <w:keepLines/>
        <w:spacing w:after="60"/>
      </w:pPr>
      <w:r>
        <w:rPr>
          <w:b/>
          <w:color w:val="2F855A"/>
        </w:rPr>
        <w:t xml:space="preserve">Emphasise: </w:t>
      </w:r>
      <w:r>
        <w:t>These are backup interpretation aids.</w:t>
      </w:r>
    </w:p>
    <w:p>
      <w:pPr>
        <w:keepLines/>
        <w:spacing w:after="60"/>
      </w:pPr>
      <w:r>
        <w:rPr>
          <w:b/>
          <w:color w:val="D97706"/>
        </w:rPr>
        <w:t xml:space="preserve">Boundary: </w:t>
      </w:r>
      <w:r>
        <w:t>Neither diagnostic converts the sparse phenotype analysis into a confirmatory claim.</w:t>
      </w:r>
    </w:p>
    <w:p>
      <w:r>
        <w:br w:type="page"/>
      </w:r>
    </w:p>
    <w:p>
      <w:pPr>
        <w:pStyle w:val="Heading1"/>
      </w:pPr>
      <w:r>
        <w:t>Rapid Q&amp;A guardrails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60"/>
        <w:gridCol w:w="5060"/>
      </w:tblGrid>
      <w:tr>
        <w:trPr>
          <w:tblHeader w:val="true"/>
        </w:trPr>
        <w:tc>
          <w:tcPr>
            <w:tcW w:type="dxa" w:w="5060"/>
            <w:shd w:fill="2B6CB0"/>
          </w:tcPr>
          <w:p>
            <w:r>
              <w:rPr>
                <w:b/>
                <w:color w:val="FFFFFF"/>
                <w:sz w:val="17"/>
              </w:rPr>
              <w:t>Question</w:t>
            </w:r>
          </w:p>
        </w:tc>
        <w:tc>
          <w:tcPr>
            <w:tcW w:type="dxa" w:w="5060"/>
            <w:shd w:fill="2B6CB0"/>
          </w:tcPr>
          <w:p>
            <w:r>
              <w:rPr>
                <w:b/>
                <w:color w:val="FFFFFF"/>
                <w:sz w:val="17"/>
              </w:rPr>
              <w:t>Release-safe answer</w:t>
            </w:r>
          </w:p>
        </w:tc>
      </w:tr>
      <w:tr>
        <w:tc>
          <w:tcPr>
            <w:tcW w:type="dxa" w:w="3024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vAlign w:val="top"/>
          </w:tcPr>
          <w:p>
            <w:pPr>
              <w:spacing w:after="30"/>
            </w:pPr>
            <w:r>
              <w:rPr>
                <w:sz w:val="17"/>
              </w:rPr>
              <w:t>Which genome source?</w:t>
            </w:r>
          </w:p>
        </w:tc>
        <w:tc>
          <w:tcPr>
            <w:tcW w:type="dxa" w:w="6912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vAlign w:val="top"/>
          </w:tcPr>
          <w:p>
            <w:pPr>
              <w:spacing w:after="30"/>
            </w:pPr>
            <w:r>
              <w:rPr>
                <w:sz w:val="17"/>
              </w:rPr>
              <w:t>One selected QC-passing Longcycler assembly per analytical episode.</w:t>
            </w:r>
          </w:p>
        </w:tc>
      </w:tr>
      <w:tr>
        <w:tc>
          <w:tcPr>
            <w:tcW w:type="dxa" w:w="3024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vAlign w:val="top"/>
          </w:tcPr>
          <w:p>
            <w:pPr>
              <w:spacing w:after="30"/>
            </w:pPr>
            <w:r>
              <w:rPr>
                <w:sz w:val="17"/>
              </w:rPr>
              <w:t>Which analytical denominator?</w:t>
            </w:r>
          </w:p>
        </w:tc>
        <w:tc>
          <w:tcPr>
            <w:tcW w:type="dxa" w:w="6912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vAlign w:val="top"/>
          </w:tcPr>
          <w:p>
            <w:pPr>
              <w:spacing w:after="30"/>
            </w:pPr>
            <w:r>
              <w:rPr>
                <w:sz w:val="17"/>
              </w:rPr>
              <w:t>532 episodes from 161 residents; 16 operational UTI and 516 operational Not_UTI.</w:t>
            </w:r>
          </w:p>
        </w:tc>
      </w:tr>
      <w:tr>
        <w:tc>
          <w:tcPr>
            <w:tcW w:type="dxa" w:w="3024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vAlign w:val="top"/>
          </w:tcPr>
          <w:p>
            <w:pPr>
              <w:spacing w:after="30"/>
            </w:pPr>
            <w:r>
              <w:rPr>
                <w:sz w:val="17"/>
              </w:rPr>
              <w:t>Why do pair counts differ?</w:t>
            </w:r>
          </w:p>
        </w:tc>
        <w:tc>
          <w:tcPr>
            <w:tcW w:type="dxa" w:w="6912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vAlign w:val="top"/>
          </w:tcPr>
          <w:p>
            <w:pPr>
              <w:spacing w:after="30"/>
            </w:pPr>
            <w:r>
              <w:rPr>
                <w:sz w:val="17"/>
              </w:rPr>
              <w:t>893 direct pairs include all within-resident comparisons; 371 adjacent transitions are temporally ordered.</w:t>
            </w:r>
          </w:p>
        </w:tc>
      </w:tr>
      <w:tr>
        <w:tc>
          <w:tcPr>
            <w:tcW w:type="dxa" w:w="3024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vAlign w:val="top"/>
          </w:tcPr>
          <w:p>
            <w:pPr>
              <w:spacing w:after="30"/>
            </w:pPr>
            <w:r>
              <w:rPr>
                <w:sz w:val="17"/>
              </w:rPr>
              <w:t>What does ≤25 SNPs mean?</w:t>
            </w:r>
          </w:p>
        </w:tc>
        <w:tc>
          <w:tcPr>
            <w:tcW w:type="dxa" w:w="6912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vAlign w:val="top"/>
          </w:tcPr>
          <w:p>
            <w:pPr>
              <w:spacing w:after="30"/>
            </w:pPr>
            <w:r>
              <w:rPr>
                <w:sz w:val="17"/>
              </w:rPr>
              <w:t>It is the operational threshold used for context. 140 adjacent transitions meet it; 5 of 9 focused transitions meet it.</w:t>
            </w:r>
          </w:p>
        </w:tc>
      </w:tr>
      <w:tr>
        <w:tc>
          <w:tcPr>
            <w:tcW w:type="dxa" w:w="3024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vAlign w:val="top"/>
          </w:tcPr>
          <w:p>
            <w:pPr>
              <w:spacing w:after="30"/>
            </w:pPr>
            <w:r>
              <w:rPr>
                <w:sz w:val="17"/>
              </w:rPr>
              <w:t>Is the casebook complete?</w:t>
            </w:r>
          </w:p>
        </w:tc>
        <w:tc>
          <w:tcPr>
            <w:tcW w:type="dxa" w:w="6912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vAlign w:val="top"/>
          </w:tcPr>
          <w:p>
            <w:pPr>
              <w:spacing w:after="30"/>
            </w:pPr>
            <w:r>
              <w:rPr>
                <w:sz w:val="17"/>
              </w:rPr>
              <w:t>Yes: 9 cases, 9 linked, 0 missing.</w:t>
            </w:r>
          </w:p>
        </w:tc>
      </w:tr>
      <w:tr>
        <w:tc>
          <w:tcPr>
            <w:tcW w:type="dxa" w:w="3024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vAlign w:val="top"/>
          </w:tcPr>
          <w:p>
            <w:pPr>
              <w:spacing w:after="30"/>
            </w:pPr>
            <w:r>
              <w:rPr>
                <w:sz w:val="17"/>
              </w:rPr>
              <w:t>Are near-miss rows UTI cases?</w:t>
            </w:r>
          </w:p>
        </w:tc>
        <w:tc>
          <w:tcPr>
            <w:tcW w:type="dxa" w:w="6912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vAlign w:val="top"/>
          </w:tcPr>
          <w:p>
            <w:pPr>
              <w:spacing w:after="30"/>
            </w:pPr>
            <w:r>
              <w:rPr>
                <w:sz w:val="17"/>
              </w:rPr>
              <w:t>No. The 17-row audit is explicitly separate from operational UTI cases.</w:t>
            </w:r>
          </w:p>
        </w:tc>
      </w:tr>
      <w:tr>
        <w:tc>
          <w:tcPr>
            <w:tcW w:type="dxa" w:w="3024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vAlign w:val="top"/>
          </w:tcPr>
          <w:p>
            <w:pPr>
              <w:spacing w:after="30"/>
            </w:pPr>
            <w:r>
              <w:rPr>
                <w:sz w:val="17"/>
              </w:rPr>
              <w:t>What is the claim level?</w:t>
            </w:r>
          </w:p>
        </w:tc>
        <w:tc>
          <w:tcPr>
            <w:tcW w:type="dxa" w:w="6912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  <w:vAlign w:val="top"/>
          </w:tcPr>
          <w:p>
            <w:pPr>
              <w:spacing w:after="30"/>
            </w:pPr>
            <w:r>
              <w:rPr>
                <w:sz w:val="17"/>
              </w:rPr>
              <w:t>Exploratory observational analysis. No causal claim.</w:t>
            </w:r>
          </w:p>
        </w:tc>
      </w:tr>
    </w:tbl>
    <w:p>
      <w:pPr>
        <w:pStyle w:val="Heading1"/>
      </w:pPr>
      <w:r>
        <w:t>Registered sources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73"/>
        <w:gridCol w:w="3373"/>
        <w:gridCol w:w="3373"/>
      </w:tblGrid>
      <w:tr>
        <w:trPr>
          <w:tblHeader w:val="true"/>
        </w:trPr>
        <w:tc>
          <w:tcPr>
            <w:tcW w:type="dxa" w:w="3373"/>
            <w:shd w:fill="2B6CB0"/>
          </w:tcPr>
          <w:p>
            <w:r>
              <w:rPr>
                <w:b/>
                <w:color w:val="FFFFFF"/>
                <w:sz w:val="15"/>
              </w:rPr>
              <w:t>Role</w:t>
            </w:r>
          </w:p>
        </w:tc>
        <w:tc>
          <w:tcPr>
            <w:tcW w:type="dxa" w:w="3373"/>
            <w:shd w:fill="2B6CB0"/>
          </w:tcPr>
          <w:p>
            <w:r>
              <w:rPr>
                <w:b/>
                <w:color w:val="FFFFFF"/>
                <w:sz w:val="15"/>
              </w:rPr>
              <w:t>Path</w:t>
            </w:r>
          </w:p>
        </w:tc>
        <w:tc>
          <w:tcPr>
            <w:tcW w:type="dxa" w:w="3373"/>
            <w:shd w:fill="2B6CB0"/>
          </w:tcPr>
          <w:p>
            <w:r>
              <w:rPr>
                <w:b/>
                <w:color w:val="FFFFFF"/>
                <w:sz w:val="15"/>
              </w:rPr>
              <w:t>SHA-256</w:t>
            </w:r>
          </w:p>
        </w:tc>
      </w:tr>
      <w:tr>
        <w:tc>
          <w:tcPr>
            <w:tcW w:type="dxa" w:w="3373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</w:tcPr>
          <w:p>
            <w:pPr>
              <w:spacing w:after="0"/>
            </w:pPr>
            <w:r>
              <w:rPr>
                <w:rFonts w:ascii="Aptos" w:hAnsi="Aptos"/>
                <w:sz w:val="13"/>
              </w:rPr>
              <w:t>cohort</w:t>
            </w:r>
          </w:p>
        </w:tc>
        <w:tc>
          <w:tcPr>
            <w:tcW w:type="dxa" w:w="3373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</w:tcPr>
          <w:p>
            <w:pPr>
              <w:spacing w:after="0"/>
            </w:pPr>
            <w:r>
              <w:rPr>
                <w:rFonts w:ascii="Aptos Mono" w:hAnsi="Aptos Mono"/>
                <w:sz w:val="13"/>
              </w:rPr>
              <w:t>/Users/Aamir/Desktop/rUTIs/results/clinical/analysis_cohort_longcycler.csv</w:t>
            </w:r>
          </w:p>
        </w:tc>
        <w:tc>
          <w:tcPr>
            <w:tcW w:type="dxa" w:w="3373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</w:tcPr>
          <w:p>
            <w:pPr>
              <w:spacing w:after="0"/>
            </w:pPr>
            <w:r>
              <w:rPr>
                <w:rFonts w:ascii="Aptos Mono" w:hAnsi="Aptos Mono"/>
                <w:sz w:val="13"/>
              </w:rPr>
              <w:t>bd58fe19c43e36567a79e04a8ced7e6d0e53faa50100c042317b01517bbef939</w:t>
            </w:r>
          </w:p>
        </w:tc>
      </w:tr>
      <w:tr>
        <w:tc>
          <w:tcPr>
            <w:tcW w:type="dxa" w:w="3373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</w:tcPr>
          <w:p>
            <w:pPr>
              <w:spacing w:after="0"/>
            </w:pPr>
            <w:r>
              <w:rPr>
                <w:rFonts w:ascii="Aptos" w:hAnsi="Aptos"/>
                <w:sz w:val="13"/>
              </w:rPr>
              <w:t>manifest</w:t>
            </w:r>
          </w:p>
        </w:tc>
        <w:tc>
          <w:tcPr>
            <w:tcW w:type="dxa" w:w="3373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</w:tcPr>
          <w:p>
            <w:pPr>
              <w:spacing w:after="0"/>
            </w:pPr>
            <w:r>
              <w:rPr>
                <w:rFonts w:ascii="Aptos Mono" w:hAnsi="Aptos Mono"/>
                <w:sz w:val="13"/>
              </w:rPr>
              <w:t>/Users/Aamir/Desktop/rUTIs/results/qc/analysis_assembly_manifest.csv</w:t>
            </w:r>
          </w:p>
        </w:tc>
        <w:tc>
          <w:tcPr>
            <w:tcW w:type="dxa" w:w="3373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</w:tcPr>
          <w:p>
            <w:pPr>
              <w:spacing w:after="0"/>
            </w:pPr>
            <w:r>
              <w:rPr>
                <w:rFonts w:ascii="Aptos Mono" w:hAnsi="Aptos Mono"/>
                <w:sz w:val="13"/>
              </w:rPr>
              <w:t>de9e96bfc8ff403cfa65ad503380629e63a78cf62e7442bd1a8bfd6da30abac7</w:t>
            </w:r>
          </w:p>
        </w:tc>
      </w:tr>
      <w:tr>
        <w:tc>
          <w:tcPr>
            <w:tcW w:type="dxa" w:w="3373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</w:tcPr>
          <w:p>
            <w:pPr>
              <w:spacing w:after="0"/>
            </w:pPr>
            <w:r>
              <w:rPr>
                <w:rFonts w:ascii="Aptos" w:hAnsi="Aptos"/>
                <w:sz w:val="13"/>
              </w:rPr>
              <w:t>vf</w:t>
            </w:r>
          </w:p>
        </w:tc>
        <w:tc>
          <w:tcPr>
            <w:tcW w:type="dxa" w:w="3373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</w:tcPr>
          <w:p>
            <w:pPr>
              <w:spacing w:after="0"/>
            </w:pPr>
            <w:r>
              <w:rPr>
                <w:rFonts w:ascii="Aptos Mono" w:hAnsi="Aptos Mono"/>
                <w:sz w:val="13"/>
              </w:rPr>
              <w:t>/Users/Aamir/Desktop/rUTIs/results/vf/vf_pa_all.csv</w:t>
            </w:r>
          </w:p>
        </w:tc>
        <w:tc>
          <w:tcPr>
            <w:tcW w:type="dxa" w:w="3373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</w:tcPr>
          <w:p>
            <w:pPr>
              <w:spacing w:after="0"/>
            </w:pPr>
            <w:r>
              <w:rPr>
                <w:rFonts w:ascii="Aptos Mono" w:hAnsi="Aptos Mono"/>
                <w:sz w:val="13"/>
              </w:rPr>
              <w:t>24a909ca69bedc08da9fff961162408e806d89028c80c0a3ae80e2e92d50ac35</w:t>
            </w:r>
          </w:p>
        </w:tc>
      </w:tr>
      <w:tr>
        <w:tc>
          <w:tcPr>
            <w:tcW w:type="dxa" w:w="3373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</w:tcPr>
          <w:p>
            <w:pPr>
              <w:spacing w:after="0"/>
            </w:pPr>
            <w:r>
              <w:rPr>
                <w:rFonts w:ascii="Aptos" w:hAnsi="Aptos"/>
                <w:sz w:val="13"/>
              </w:rPr>
              <w:t>mlst</w:t>
            </w:r>
          </w:p>
        </w:tc>
        <w:tc>
          <w:tcPr>
            <w:tcW w:type="dxa" w:w="3373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</w:tcPr>
          <w:p>
            <w:pPr>
              <w:spacing w:after="0"/>
            </w:pPr>
            <w:r>
              <w:rPr>
                <w:rFonts w:ascii="Aptos Mono" w:hAnsi="Aptos Mono"/>
                <w:sz w:val="13"/>
              </w:rPr>
              <w:t>/Users/Aamir/Desktop/rUTIs/results/mlst/mlst_provider_preferred.csv</w:t>
            </w:r>
          </w:p>
        </w:tc>
        <w:tc>
          <w:tcPr>
            <w:tcW w:type="dxa" w:w="3373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</w:tcPr>
          <w:p>
            <w:pPr>
              <w:spacing w:after="0"/>
            </w:pPr>
            <w:r>
              <w:rPr>
                <w:rFonts w:ascii="Aptos Mono" w:hAnsi="Aptos Mono"/>
                <w:sz w:val="13"/>
              </w:rPr>
              <w:t>b43be76e7fad03334d8a6f3cc414ff782e1719c56c3ac3c9f8be8b7dca90d148</w:t>
            </w:r>
          </w:p>
        </w:tc>
      </w:tr>
      <w:tr>
        <w:tc>
          <w:tcPr>
            <w:tcW w:type="dxa" w:w="3373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</w:tcPr>
          <w:p>
            <w:pPr>
              <w:spacing w:after="0"/>
            </w:pPr>
            <w:r>
              <w:rPr>
                <w:rFonts w:ascii="Aptos" w:hAnsi="Aptos"/>
                <w:sz w:val="13"/>
              </w:rPr>
              <w:t>pairs</w:t>
            </w:r>
          </w:p>
        </w:tc>
        <w:tc>
          <w:tcPr>
            <w:tcW w:type="dxa" w:w="3373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</w:tcPr>
          <w:p>
            <w:pPr>
              <w:spacing w:after="0"/>
            </w:pPr>
            <w:r>
              <w:rPr>
                <w:rFonts w:ascii="Aptos Mono" w:hAnsi="Aptos Mono"/>
                <w:sz w:val="13"/>
              </w:rPr>
              <w:t>/Users/Aamir/Desktop/rUTIs/results/strain_compare/pairwise_metrics.csv</w:t>
            </w:r>
          </w:p>
        </w:tc>
        <w:tc>
          <w:tcPr>
            <w:tcW w:type="dxa" w:w="3373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</w:tcPr>
          <w:p>
            <w:pPr>
              <w:spacing w:after="0"/>
            </w:pPr>
            <w:r>
              <w:rPr>
                <w:rFonts w:ascii="Aptos Mono" w:hAnsi="Aptos Mono"/>
                <w:sz w:val="13"/>
              </w:rPr>
              <w:t>1a818e0e0c18340c38872eae45b832fa9cf3fe92f8f161d47fae286609682350</w:t>
            </w:r>
          </w:p>
        </w:tc>
      </w:tr>
      <w:tr>
        <w:tc>
          <w:tcPr>
            <w:tcW w:type="dxa" w:w="3373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</w:tcPr>
          <w:p>
            <w:pPr>
              <w:spacing w:after="0"/>
            </w:pPr>
            <w:r>
              <w:rPr>
                <w:rFonts w:ascii="Aptos" w:hAnsi="Aptos"/>
                <w:sz w:val="13"/>
              </w:rPr>
              <w:t>transitions</w:t>
            </w:r>
          </w:p>
        </w:tc>
        <w:tc>
          <w:tcPr>
            <w:tcW w:type="dxa" w:w="3373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</w:tcPr>
          <w:p>
            <w:pPr>
              <w:spacing w:after="0"/>
            </w:pPr>
            <w:r>
              <w:rPr>
                <w:rFonts w:ascii="Aptos Mono" w:hAnsi="Aptos Mono"/>
                <w:sz w:val="13"/>
              </w:rPr>
              <w:t>/Users/Aamir/Desktop/rUTIs/results/longitudinal/longcycler_transitions.csv</w:t>
            </w:r>
          </w:p>
        </w:tc>
        <w:tc>
          <w:tcPr>
            <w:tcW w:type="dxa" w:w="3373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</w:tcPr>
          <w:p>
            <w:pPr>
              <w:spacing w:after="0"/>
            </w:pPr>
            <w:r>
              <w:rPr>
                <w:rFonts w:ascii="Aptos Mono" w:hAnsi="Aptos Mono"/>
                <w:sz w:val="13"/>
              </w:rPr>
              <w:t>69363e04837ced3a0bc1690e285960b1f4181d4d896be46d3b99b0f09b16c1f3</w:t>
            </w:r>
          </w:p>
        </w:tc>
      </w:tr>
      <w:tr>
        <w:tc>
          <w:tcPr>
            <w:tcW w:type="dxa" w:w="3373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</w:tcPr>
          <w:p>
            <w:pPr>
              <w:spacing w:after="0"/>
            </w:pPr>
            <w:r>
              <w:rPr>
                <w:rFonts w:ascii="Aptos" w:hAnsi="Aptos"/>
                <w:sz w:val="13"/>
              </w:rPr>
              <w:t>panaroo_manifest</w:t>
            </w:r>
          </w:p>
        </w:tc>
        <w:tc>
          <w:tcPr>
            <w:tcW w:type="dxa" w:w="3373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</w:tcPr>
          <w:p>
            <w:pPr>
              <w:spacing w:after="0"/>
            </w:pPr>
            <w:r>
              <w:rPr>
                <w:rFonts w:ascii="Aptos Mono" w:hAnsi="Aptos Mono"/>
                <w:sz w:val="13"/>
              </w:rPr>
              <w:t>/Users/Aamir/Desktop/rUTIs/results/wgs/pan/panaroo_input_manifest.csv</w:t>
            </w:r>
          </w:p>
        </w:tc>
        <w:tc>
          <w:tcPr>
            <w:tcW w:type="dxa" w:w="3373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</w:tcPr>
          <w:p>
            <w:pPr>
              <w:spacing w:after="0"/>
            </w:pPr>
            <w:r>
              <w:rPr>
                <w:rFonts w:ascii="Aptos Mono" w:hAnsi="Aptos Mono"/>
                <w:sz w:val="13"/>
              </w:rPr>
              <w:t>8933945d5c3ca8f678a83ae3574bcd92bb6bfd29132eabb0b45bdf599cb3636d</w:t>
            </w:r>
          </w:p>
        </w:tc>
      </w:tr>
      <w:tr>
        <w:tc>
          <w:tcPr>
            <w:tcW w:type="dxa" w:w="3373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</w:tcPr>
          <w:p>
            <w:pPr>
              <w:spacing w:after="0"/>
            </w:pPr>
            <w:r>
              <w:rPr>
                <w:rFonts w:ascii="Aptos" w:hAnsi="Aptos"/>
                <w:sz w:val="13"/>
              </w:rPr>
              <w:t>panaroo_roary_compatibility</w:t>
            </w:r>
          </w:p>
        </w:tc>
        <w:tc>
          <w:tcPr>
            <w:tcW w:type="dxa" w:w="3373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</w:tcPr>
          <w:p>
            <w:pPr>
              <w:spacing w:after="0"/>
            </w:pPr>
            <w:r>
              <w:rPr>
                <w:rFonts w:ascii="Aptos Mono" w:hAnsi="Aptos Mono"/>
                <w:sz w:val="13"/>
              </w:rPr>
              <w:t>/Users/Aamir/Desktop/rUTIs/results/wgs/pan/gene_presence_absence_roary.csv</w:t>
            </w:r>
          </w:p>
        </w:tc>
        <w:tc>
          <w:tcPr>
            <w:tcW w:type="dxa" w:w="3373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</w:tcPr>
          <w:p>
            <w:pPr>
              <w:spacing w:after="0"/>
            </w:pPr>
            <w:r>
              <w:rPr>
                <w:rFonts w:ascii="Aptos Mono" w:hAnsi="Aptos Mono"/>
                <w:sz w:val="13"/>
              </w:rPr>
              <w:t>69a03687f69927d917ab5ff92eb681e3ac5fbe8969d1c9732cc9ac30ed81db78</w:t>
            </w:r>
          </w:p>
        </w:tc>
      </w:tr>
      <w:tr>
        <w:tc>
          <w:tcPr>
            <w:tcW w:type="dxa" w:w="3373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</w:tcPr>
          <w:p>
            <w:pPr>
              <w:spacing w:after="0"/>
            </w:pPr>
            <w:r>
              <w:rPr>
                <w:rFonts w:ascii="Aptos" w:hAnsi="Aptos"/>
                <w:sz w:val="13"/>
              </w:rPr>
              <w:t>casebook</w:t>
            </w:r>
          </w:p>
        </w:tc>
        <w:tc>
          <w:tcPr>
            <w:tcW w:type="dxa" w:w="3373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</w:tcPr>
          <w:p>
            <w:pPr>
              <w:spacing w:after="0"/>
            </w:pPr>
            <w:r>
              <w:rPr>
                <w:rFonts w:ascii="Aptos Mono" w:hAnsi="Aptos Mono"/>
                <w:sz w:val="13"/>
              </w:rPr>
              <w:t>/Users/Aamir/Desktop/rUTIs/results/mechanism/not_uti_to_uti_casebook.csv</w:t>
            </w:r>
          </w:p>
        </w:tc>
        <w:tc>
          <w:tcPr>
            <w:tcW w:type="dxa" w:w="3373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</w:tcPr>
          <w:p>
            <w:pPr>
              <w:spacing w:after="0"/>
            </w:pPr>
            <w:r>
              <w:rPr>
                <w:rFonts w:ascii="Aptos Mono" w:hAnsi="Aptos Mono"/>
                <w:sz w:val="13"/>
              </w:rPr>
              <w:t>3ef6f95b03ff138ba956ab930fe3ce05e572cc55816930eb38f9037b27ee2636</w:t>
            </w:r>
          </w:p>
        </w:tc>
      </w:tr>
      <w:tr>
        <w:tc>
          <w:tcPr>
            <w:tcW w:type="dxa" w:w="3373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</w:tcPr>
          <w:p>
            <w:pPr>
              <w:spacing w:after="0"/>
            </w:pPr>
            <w:r>
              <w:rPr>
                <w:rFonts w:ascii="Aptos" w:hAnsi="Aptos"/>
                <w:sz w:val="13"/>
              </w:rPr>
              <w:t>near_miss</w:t>
            </w:r>
          </w:p>
        </w:tc>
        <w:tc>
          <w:tcPr>
            <w:tcW w:type="dxa" w:w="3373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</w:tcPr>
          <w:p>
            <w:pPr>
              <w:spacing w:after="0"/>
            </w:pPr>
            <w:r>
              <w:rPr>
                <w:rFonts w:ascii="Aptos Mono" w:hAnsi="Aptos Mono"/>
                <w:sz w:val="13"/>
              </w:rPr>
              <w:t>/Users/Aamir/Desktop/rUTIs/results/audit/uti_not_uti_near_miss_rows.csv</w:t>
            </w:r>
          </w:p>
        </w:tc>
        <w:tc>
          <w:tcPr>
            <w:tcW w:type="dxa" w:w="3373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</w:tcPr>
          <w:p>
            <w:pPr>
              <w:spacing w:after="0"/>
            </w:pPr>
            <w:r>
              <w:rPr>
                <w:rFonts w:ascii="Aptos Mono" w:hAnsi="Aptos Mono"/>
                <w:sz w:val="13"/>
              </w:rPr>
              <w:t>29cbab157061080820152cf533e44e0763c7e4c235814bf254661d1e72c2dd90</w:t>
            </w:r>
          </w:p>
        </w:tc>
      </w:tr>
      <w:tr>
        <w:tc>
          <w:tcPr>
            <w:tcW w:type="dxa" w:w="3373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</w:tcPr>
          <w:p>
            <w:pPr>
              <w:spacing w:after="0"/>
            </w:pPr>
            <w:r>
              <w:rPr>
                <w:rFonts w:ascii="Aptos" w:hAnsi="Aptos"/>
                <w:sz w:val="13"/>
              </w:rPr>
              <w:t>rq_marker</w:t>
            </w:r>
          </w:p>
        </w:tc>
        <w:tc>
          <w:tcPr>
            <w:tcW w:type="dxa" w:w="3373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</w:tcPr>
          <w:p>
            <w:pPr>
              <w:spacing w:after="0"/>
            </w:pPr>
            <w:r>
              <w:rPr>
                <w:rFonts w:ascii="Aptos Mono" w:hAnsi="Aptos Mono"/>
                <w:sz w:val="13"/>
              </w:rPr>
              <w:t>/Users/Aamir/Desktop/rUTIs/results/research_questions/RUN_COMPLETE.txt</w:t>
            </w:r>
          </w:p>
        </w:tc>
        <w:tc>
          <w:tcPr>
            <w:tcW w:type="dxa" w:w="3373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</w:tcPr>
          <w:p>
            <w:pPr>
              <w:spacing w:after="0"/>
            </w:pPr>
            <w:r>
              <w:rPr>
                <w:rFonts w:ascii="Aptos Mono" w:hAnsi="Aptos Mono"/>
                <w:sz w:val="13"/>
              </w:rPr>
              <w:t>6f320f7d9fd80c262f0be36cde7a6ec87a243b4665696b9612c39cb6586e7413</w:t>
            </w:r>
          </w:p>
        </w:tc>
      </w:tr>
      <w:tr>
        <w:tc>
          <w:tcPr>
            <w:tcW w:type="dxa" w:w="3373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</w:tcPr>
          <w:p>
            <w:pPr>
              <w:spacing w:after="0"/>
            </w:pPr>
            <w:r>
              <w:rPr>
                <w:rFonts w:ascii="Aptos" w:hAnsi="Aptos"/>
                <w:sz w:val="13"/>
              </w:rPr>
              <w:t>vf_method_manifest</w:t>
            </w:r>
          </w:p>
        </w:tc>
        <w:tc>
          <w:tcPr>
            <w:tcW w:type="dxa" w:w="3373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</w:tcPr>
          <w:p>
            <w:pPr>
              <w:spacing w:after="0"/>
            </w:pPr>
            <w:r>
              <w:rPr>
                <w:rFonts w:ascii="Aptos Mono" w:hAnsi="Aptos Mono"/>
                <w:sz w:val="13"/>
              </w:rPr>
              <w:t>/Users/Aamir/Desktop/rUTIs/results/research_questions/_inputs/method_manifest.csv</w:t>
            </w:r>
          </w:p>
        </w:tc>
        <w:tc>
          <w:tcPr>
            <w:tcW w:type="dxa" w:w="3373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</w:tcPr>
          <w:p>
            <w:pPr>
              <w:spacing w:after="0"/>
            </w:pPr>
            <w:r>
              <w:rPr>
                <w:rFonts w:ascii="Aptos Mono" w:hAnsi="Aptos Mono"/>
                <w:sz w:val="13"/>
              </w:rPr>
              <w:t>16ed5d9943c744021ac360e036bd724c9f498f5d1a7873937c0ad05962bd179e</w:t>
            </w:r>
          </w:p>
        </w:tc>
      </w:tr>
      <w:tr>
        <w:tc>
          <w:tcPr>
            <w:tcW w:type="dxa" w:w="3373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</w:tcPr>
          <w:p>
            <w:pPr>
              <w:spacing w:after="0"/>
            </w:pPr>
            <w:r>
              <w:rPr>
                <w:rFonts w:ascii="Aptos" w:hAnsi="Aptos"/>
                <w:sz w:val="13"/>
              </w:rPr>
              <w:t>project_configuration</w:t>
            </w:r>
          </w:p>
        </w:tc>
        <w:tc>
          <w:tcPr>
            <w:tcW w:type="dxa" w:w="3373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</w:tcPr>
          <w:p>
            <w:pPr>
              <w:spacing w:after="0"/>
            </w:pPr>
            <w:r>
              <w:rPr>
                <w:rFonts w:ascii="Aptos Mono" w:hAnsi="Aptos Mono"/>
                <w:sz w:val="13"/>
              </w:rPr>
              <w:t>/Users/Aamir/Desktop/rUTIs/00_config.R</w:t>
            </w:r>
          </w:p>
        </w:tc>
        <w:tc>
          <w:tcPr>
            <w:tcW w:type="dxa" w:w="3373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</w:tcPr>
          <w:p>
            <w:pPr>
              <w:spacing w:after="0"/>
            </w:pPr>
            <w:r>
              <w:rPr>
                <w:rFonts w:ascii="Aptos Mono" w:hAnsi="Aptos Mono"/>
                <w:sz w:val="13"/>
              </w:rPr>
              <w:t>1cf0bfe800723097de9090f7287760ea0b11653a11dd9755b5b36f7c380cffff</w:t>
            </w:r>
          </w:p>
        </w:tc>
      </w:tr>
      <w:tr>
        <w:tc>
          <w:tcPr>
            <w:tcW w:type="dxa" w:w="3373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</w:tcPr>
          <w:p>
            <w:pPr>
              <w:spacing w:after="0"/>
            </w:pPr>
            <w:r>
              <w:rPr>
                <w:rFonts w:ascii="Aptos" w:hAnsi="Aptos"/>
                <w:sz w:val="13"/>
              </w:rPr>
              <w:t>assembly_qc_implementation</w:t>
            </w:r>
          </w:p>
        </w:tc>
        <w:tc>
          <w:tcPr>
            <w:tcW w:type="dxa" w:w="3373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</w:tcPr>
          <w:p>
            <w:pPr>
              <w:spacing w:after="0"/>
            </w:pPr>
            <w:r>
              <w:rPr>
                <w:rFonts w:ascii="Aptos Mono" w:hAnsi="Aptos Mono"/>
                <w:sz w:val="13"/>
              </w:rPr>
              <w:t>/Users/Aamir/Desktop/rUTIs/R/wgs_helpers.R</w:t>
            </w:r>
          </w:p>
        </w:tc>
        <w:tc>
          <w:tcPr>
            <w:tcW w:type="dxa" w:w="3373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</w:tcPr>
          <w:p>
            <w:pPr>
              <w:spacing w:after="0"/>
            </w:pPr>
            <w:r>
              <w:rPr>
                <w:rFonts w:ascii="Aptos Mono" w:hAnsi="Aptos Mono"/>
                <w:sz w:val="13"/>
              </w:rPr>
              <w:t>c8abc92527025d32b722bac493ddb7bfa2fd820d895ac2f965d842954ddd31c9</w:t>
            </w:r>
          </w:p>
        </w:tc>
      </w:tr>
      <w:tr>
        <w:tc>
          <w:tcPr>
            <w:tcW w:type="dxa" w:w="3373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</w:tcPr>
          <w:p>
            <w:pPr>
              <w:spacing w:after="0"/>
            </w:pPr>
            <w:r>
              <w:rPr>
                <w:rFonts w:ascii="Aptos" w:hAnsi="Aptos"/>
                <w:sz w:val="13"/>
              </w:rPr>
              <w:t>provider_mlst_implementation</w:t>
            </w:r>
          </w:p>
        </w:tc>
        <w:tc>
          <w:tcPr>
            <w:tcW w:type="dxa" w:w="3373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</w:tcPr>
          <w:p>
            <w:pPr>
              <w:spacing w:after="0"/>
            </w:pPr>
            <w:r>
              <w:rPr>
                <w:rFonts w:ascii="Aptos Mono" w:hAnsi="Aptos Mono"/>
                <w:sz w:val="13"/>
              </w:rPr>
              <w:t>/Users/Aamir/Desktop/rUTIs/R/provider_mlst_integration.R</w:t>
            </w:r>
          </w:p>
        </w:tc>
        <w:tc>
          <w:tcPr>
            <w:tcW w:type="dxa" w:w="3373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</w:tcPr>
          <w:p>
            <w:pPr>
              <w:spacing w:after="0"/>
            </w:pPr>
            <w:r>
              <w:rPr>
                <w:rFonts w:ascii="Aptos Mono" w:hAnsi="Aptos Mono"/>
                <w:sz w:val="13"/>
              </w:rPr>
              <w:t>4ab35394d93562992dec638d9592985defe2dcd68b60e573f5253163de9c720a</w:t>
            </w:r>
          </w:p>
        </w:tc>
      </w:tr>
      <w:tr>
        <w:tc>
          <w:tcPr>
            <w:tcW w:type="dxa" w:w="3373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</w:tcPr>
          <w:p>
            <w:pPr>
              <w:spacing w:after="0"/>
            </w:pPr>
            <w:r>
              <w:rPr>
                <w:rFonts w:ascii="Aptos" w:hAnsi="Aptos"/>
                <w:sz w:val="13"/>
              </w:rPr>
              <w:t>vfdb_implementation</w:t>
            </w:r>
          </w:p>
        </w:tc>
        <w:tc>
          <w:tcPr>
            <w:tcW w:type="dxa" w:w="3373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</w:tcPr>
          <w:p>
            <w:pPr>
              <w:spacing w:after="0"/>
            </w:pPr>
            <w:r>
              <w:rPr>
                <w:rFonts w:ascii="Aptos Mono" w:hAnsi="Aptos Mono"/>
                <w:sz w:val="13"/>
              </w:rPr>
              <w:t>/Users/Aamir/Desktop/rUTIs/scripts/research_questions/run_rq06_08.R</w:t>
            </w:r>
          </w:p>
        </w:tc>
        <w:tc>
          <w:tcPr>
            <w:tcW w:type="dxa" w:w="3373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</w:tcPr>
          <w:p>
            <w:pPr>
              <w:spacing w:after="0"/>
            </w:pPr>
            <w:r>
              <w:rPr>
                <w:rFonts w:ascii="Aptos Mono" w:hAnsi="Aptos Mono"/>
                <w:sz w:val="13"/>
              </w:rPr>
              <w:t>7681c10fd92169db6754c446f27164cefe3b61b29c53593d7058728e6d2b538a</w:t>
            </w:r>
          </w:p>
        </w:tc>
      </w:tr>
      <w:tr>
        <w:tc>
          <w:tcPr>
            <w:tcW w:type="dxa" w:w="3373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</w:tcPr>
          <w:p>
            <w:pPr>
              <w:spacing w:after="0"/>
            </w:pPr>
            <w:r>
              <w:rPr>
                <w:rFonts w:ascii="Aptos" w:hAnsi="Aptos"/>
                <w:sz w:val="13"/>
              </w:rPr>
              <w:t>direct_pair_implementation</w:t>
            </w:r>
          </w:p>
        </w:tc>
        <w:tc>
          <w:tcPr>
            <w:tcW w:type="dxa" w:w="3373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</w:tcPr>
          <w:p>
            <w:pPr>
              <w:spacing w:after="0"/>
            </w:pPr>
            <w:r>
              <w:rPr>
                <w:rFonts w:ascii="Aptos Mono" w:hAnsi="Aptos Mono"/>
                <w:sz w:val="13"/>
              </w:rPr>
              <w:t>/Users/Aamir/Desktop/rUTIs/11_compare_strains.R</w:t>
            </w:r>
          </w:p>
        </w:tc>
        <w:tc>
          <w:tcPr>
            <w:tcW w:type="dxa" w:w="3373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</w:tcPr>
          <w:p>
            <w:pPr>
              <w:spacing w:after="0"/>
            </w:pPr>
            <w:r>
              <w:rPr>
                <w:rFonts w:ascii="Aptos Mono" w:hAnsi="Aptos Mono"/>
                <w:sz w:val="13"/>
              </w:rPr>
              <w:t>2a725dc70be9d1f266fe21edf489967a331b4346ee2434fb7114e0fd99aae148</w:t>
            </w:r>
          </w:p>
        </w:tc>
      </w:tr>
      <w:tr>
        <w:tc>
          <w:tcPr>
            <w:tcW w:type="dxa" w:w="3373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</w:tcPr>
          <w:p>
            <w:pPr>
              <w:spacing w:after="0"/>
            </w:pPr>
            <w:r>
              <w:rPr>
                <w:rFonts w:ascii="Aptos" w:hAnsi="Aptos"/>
                <w:sz w:val="13"/>
              </w:rPr>
              <w:t>core_genome_implementation</w:t>
            </w:r>
          </w:p>
        </w:tc>
        <w:tc>
          <w:tcPr>
            <w:tcW w:type="dxa" w:w="3373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</w:tcPr>
          <w:p>
            <w:pPr>
              <w:spacing w:after="0"/>
            </w:pPr>
            <w:r>
              <w:rPr>
                <w:rFonts w:ascii="Aptos Mono" w:hAnsi="Aptos Mono"/>
                <w:sz w:val="13"/>
              </w:rPr>
              <w:t>/Users/Aamir/Desktop/rUTIs/12b_core_snp.R</w:t>
            </w:r>
          </w:p>
        </w:tc>
        <w:tc>
          <w:tcPr>
            <w:tcW w:type="dxa" w:w="3373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</w:tcPr>
          <w:p>
            <w:pPr>
              <w:spacing w:after="0"/>
            </w:pPr>
            <w:r>
              <w:rPr>
                <w:rFonts w:ascii="Aptos Mono" w:hAnsi="Aptos Mono"/>
                <w:sz w:val="13"/>
              </w:rPr>
              <w:t>7555e6484b78e9c683091353211db0855beee2713bccfb6c2124391e5ea33278</w:t>
            </w:r>
          </w:p>
        </w:tc>
      </w:tr>
      <w:tr>
        <w:tc>
          <w:tcPr>
            <w:tcW w:type="dxa" w:w="3373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</w:tcPr>
          <w:p>
            <w:pPr>
              <w:spacing w:after="0"/>
            </w:pPr>
            <w:r>
              <w:rPr>
                <w:rFonts w:ascii="Aptos" w:hAnsi="Aptos"/>
                <w:sz w:val="13"/>
              </w:rPr>
              <w:t>pangenome_implementation</w:t>
            </w:r>
          </w:p>
        </w:tc>
        <w:tc>
          <w:tcPr>
            <w:tcW w:type="dxa" w:w="3373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</w:tcPr>
          <w:p>
            <w:pPr>
              <w:spacing w:after="0"/>
            </w:pPr>
            <w:r>
              <w:rPr>
                <w:rFonts w:ascii="Aptos Mono" w:hAnsi="Aptos Mono"/>
                <w:sz w:val="13"/>
              </w:rPr>
              <w:t>/Users/Aamir/Desktop/rUTIs/12c_panaroo.R</w:t>
            </w:r>
          </w:p>
        </w:tc>
        <w:tc>
          <w:tcPr>
            <w:tcW w:type="dxa" w:w="3373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  <w:insideH w:val="single" w:sz="6" w:color="CBD5E1"/>
              <w:insideV w:val="single" w:sz="6" w:color="CBD5E1"/>
            </w:tcBorders>
          </w:tcPr>
          <w:p>
            <w:pPr>
              <w:spacing w:after="0"/>
            </w:pPr>
            <w:r>
              <w:rPr>
                <w:rFonts w:ascii="Aptos Mono" w:hAnsi="Aptos Mono"/>
                <w:sz w:val="13"/>
              </w:rPr>
              <w:t>0e009e69df4a15ede4e4b4246d24db07f3f71064cba5ee297b839efedca9d9ed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792" w:right="893" w:bottom="792" w:left="893" w:header="317" w:footer="31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ptos" w:hAnsi="Aptos"/>
        <w:color w:val="64748B"/>
        <w:sz w:val="15"/>
      </w:rPr>
      <w:t xml:space="preserve">Selected analytical release  •  </w:t>
    </w:r>
    <w: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rFonts w:ascii="Aptos" w:hAnsi="Aptos"/>
        <w:color w:val="64748B"/>
        <w:sz w:val="15"/>
      </w:rPr>
      <w:t>LONGCYCLER-ONLY PRESENTER GUIDE  |  OPERATIONAL UTI PHENOTYPE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2" w:lineRule="auto"/>
    </w:pPr>
    <w:rPr>
      <w:rFonts w:ascii="Aptos" w:hAnsi="Aptos"/>
      <w:color w:val="111827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2B6CB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6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11827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00" w:after="40"/>
      <w:outlineLvl w:val="2"/>
    </w:pPr>
    <w:rPr>
      <w:rFonts w:asciiTheme="majorHAnsi" w:eastAsiaTheme="majorEastAsia" w:hAnsiTheme="majorHAnsi" w:cstheme="majorBidi" w:ascii="Aptos" w:hAnsi="Aptos"/>
      <w:b/>
      <w:bCs/>
      <w:color w:val="2F855A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11827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