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genomic clusters</w:t>
      </w:r>
    </w:p>
    <w:p>
      <w:pPr>
        <w:pStyle w:val="Subtitle"/>
      </w:pPr>
      <w:r>
        <w:t>Colleague email and reporting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A400"/>
          <w:left w:val="single" w:sz="8" w:color="D6A400"/>
          <w:bottom w:val="single" w:sz="8" w:color="D6A400"/>
          <w:right w:val="single" w:sz="8" w:color="D6A400"/>
          <w:insideH w:val="single" w:sz="8" w:color="D6A400"/>
          <w:insideV w:val="single" w:sz="8" w:color="D6A400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6324F"/>
              </w:rPr>
              <w:t>Bottom line: these are candidate genomic clusters. They are not nursing-home outbreaks or confirmed transmission clusters until Participant_id is linked to facility, ward/unit and timing information.</w:t>
            </w:r>
          </w:p>
        </w:tc>
      </w:tr>
    </w:tbl>
    <w:p>
      <w:r>
        <w:rPr>
          <w:b/>
        </w:rPr>
        <w:t xml:space="preserve">Analysis scope. </w:t>
      </w:r>
      <w:r>
        <w:t>The genetics-first screen used 532 current QC-passing isolates from 161 participants. It identified 10 high-priority candidate genomic clusters involving 28 isolates and 21 cross-participant high-priority pairs.</w:t>
      </w:r>
    </w:p>
    <w:p>
      <w:pPr>
        <w:pStyle w:val="Heading1"/>
        <w:keepNext/>
      </w:pPr>
      <w:r>
        <w:t>Copy-ready email</w:t>
      </w:r>
    </w:p>
    <w:p>
      <w:r>
        <w:rPr>
          <w:b/>
          <w:color w:val="16324F"/>
        </w:rPr>
        <w:t>Subject: Genetics-first shortlist of candidate genomic clusters</w:t>
      </w:r>
    </w:p>
    <w:p>
      <w:pPr>
        <w:ind w:left="259" w:right="259"/>
      </w:pPr>
      <w:r>
        <w:t>Hi [Name],</w:t>
      </w:r>
    </w:p>
    <w:p>
      <w:pPr>
        <w:ind w:left="259" w:right="259"/>
      </w:pPr>
      <w:r>
        <w:t>I have screened the 532 QC-passing isolates for genetic similarity across different participants. I used reliable sequence type (ST) and the full 227-gene virulence-factor profile for initial screening, followed by pair-specific SNP distance as the more specific measure of strain-level relatedness.</w:t>
      </w:r>
    </w:p>
    <w:p>
      <w:pPr>
        <w:ind w:left="259" w:right="259"/>
      </w:pPr>
      <w:r>
        <w:t>Using the project's operational ≤25-SNP threshold, I identified 10 high-priority candidate genomic clusters involving 28 isolates. The workbook also retains moderate-priority pairs, possible related lineages, and pairs that share a lineage but were more than 25 SNPs apart on direct comparison.</w:t>
      </w:r>
    </w:p>
    <w:p>
      <w:pPr>
        <w:ind w:left="259" w:right="259"/>
      </w:pPr>
      <w:r>
        <w:t>These should not yet be described as nursing-home outbreaks or confirmed transmission, because nursing-home and ward information was not available in the genomic dataset. The candidate tables are linked through Participant_id, Episode_ID and collection date, allowing you to add your nursing-home, ward/unit and timing variables and determine whether genetically related isolates also have a plausible epidemiological overlap.</w:t>
      </w:r>
    </w:p>
    <w:p>
      <w:pPr>
        <w:ind w:left="259" w:right="259"/>
      </w:pPr>
      <w:r>
        <w:t>Resistance-gene results are available from a ResFinder analysis using calls at ≥80% identity and ≥80% coverage. I have summarised shared and differing resistance genes and the broad resistance classes represented. The near-ubiquitous mdf(A) gene was excluded from AMR-profile similarity calculations. These are genotypic predictions only; no phenotypic susceptibility or antibiogram data were available, so they should not be reported as confirmed clinical resistance.</w:t>
      </w:r>
    </w:p>
    <w:p>
      <w:pPr>
        <w:ind w:left="259" w:right="259"/>
      </w:pPr>
      <w:r>
        <w:t>After you have linked the nursing-home information, we can review the strongest candidates together and agree how they should be described and reported.</w:t>
      </w:r>
    </w:p>
    <w:p>
      <w:pPr>
        <w:ind w:left="259" w:right="259"/>
      </w:pPr>
      <w:r>
        <w:t>Best wishes,</w:t>
        <w:br/>
        <w:t>[Your name]</w:t>
      </w:r>
    </w:p>
    <w:p>
      <w:r>
        <w:br w:type="page"/>
      </w:r>
    </w:p>
    <w:p>
      <w:pPr>
        <w:pStyle w:val="Heading1"/>
        <w:keepNext/>
      </w:pPr>
      <w:r>
        <w:t>High-priority clusters at a glance</w:t>
      </w:r>
    </w:p>
    <w:p>
      <w:r>
        <w:t>All entries below meet the high-priority genetics rule across different participants: same reliable ST, an identical detected 227-gene VF profile, a preliminary core-SNP distance of ≤25, and a direct pairwise distance of ≤25 SNPs.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007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2015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Participant_id</w:t>
            </w:r>
          </w:p>
        </w:tc>
        <w:tc>
          <w:tcPr>
            <w:tcW w:type="dxa" w:w="792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</w:t>
            </w:r>
          </w:p>
        </w:tc>
        <w:tc>
          <w:tcPr>
            <w:tcW w:type="dxa" w:w="936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Isolates</w:t>
            </w:r>
          </w:p>
        </w:tc>
        <w:tc>
          <w:tcPr>
            <w:tcW w:type="dxa" w:w="1224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Direct SNPs</w:t>
            </w:r>
          </w:p>
        </w:tc>
        <w:tc>
          <w:tcPr>
            <w:tcW w:type="dxa" w:w="3384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Collection dates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CGC-001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110056; 20072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83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0–5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2024-08-21 to 2025-11-19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CGC-002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120003; 61008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2024-08-26 to 2025-01-22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CGC-003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130024; 140007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2024-08-28 to 2025-02-27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CGC-004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20028; 20040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2024-06-11 to 2025-03-03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CGC-005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20058; 20062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2005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2024-06-12 to 2024-12-02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CGC-006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140029; 20071; 20072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537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5–11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2024-03-18 to 2025-05-19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CGC-007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140029; 20072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363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2024-06-12 to 2025-02-26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CGC-008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31014; 31035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961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2024-06-14 to 2025-07-22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CGC-009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60020; 62022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95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4–6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shd w:fill="E8F1F8"/>
            <w:vAlign w:val="center"/>
          </w:tcPr>
          <w:p>
            <w:pPr>
              <w:spacing w:after="0"/>
            </w:pPr>
            <w:r>
              <w:rPr>
                <w:sz w:val="16"/>
              </w:rPr>
              <w:t>2024-07-25 to 2025-02-11</w:t>
            </w:r>
          </w:p>
        </w:tc>
      </w:tr>
      <w:tr>
        <w:tc>
          <w:tcPr>
            <w:tcW w:type="dxa" w:w="1007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CGC-010</w:t>
            </w:r>
          </w:p>
        </w:tc>
        <w:tc>
          <w:tcPr>
            <w:tcW w:type="dxa" w:w="201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100061; 80011</w:t>
            </w:r>
          </w:p>
        </w:tc>
        <w:tc>
          <w:tcPr>
            <w:tcW w:type="dxa" w:w="792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141</w:t>
            </w:r>
          </w:p>
        </w:tc>
        <w:tc>
          <w:tcPr>
            <w:tcW w:type="dxa" w:w="9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38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2025-01-09 to 2025-04-16</w:t>
            </w:r>
          </w:p>
        </w:tc>
      </w:tr>
    </w:tbl>
    <w:p>
      <w:r>
        <w:t>Collection dates are shown descriptively; no arbitrary temporal cutoff was imposed. The colleague should assess whether participants were in the same nursing home or ward/unit during an epidemiologically plausible period.</w:t>
      </w:r>
    </w:p>
    <w:p>
      <w:pPr>
        <w:pStyle w:val="Heading1"/>
        <w:keepNext/>
      </w:pPr>
      <w:r>
        <w:t>What each measure contributes</w:t>
      </w:r>
    </w:p>
    <w:p>
      <w:r>
        <w:rPr>
          <w:b/>
          <w:color w:val="1F4D78"/>
        </w:rPr>
        <w:t xml:space="preserve">ST — lineage screen. </w:t>
      </w:r>
      <w:r>
        <w:t>The same reliable ST supports membership of the same broad bacterial lineage. It is useful for screening, but it is not strain-level proof and cannot establish transmission by itself.</w:t>
      </w:r>
    </w:p>
    <w:p>
      <w:r>
        <w:rPr>
          <w:b/>
          <w:color w:val="1F4D78"/>
        </w:rPr>
        <w:t xml:space="preserve">VF Jaccard — profile similarity. </w:t>
      </w:r>
      <w:r>
        <w:t>This compares the presence/absence pattern across all 227 detected virulence-factor genes. A value of 1.00 means the profiles are identical; 0.95 means approximately 95% of the union of detected genes is shared. Similarity can support screening but is less specific than SNP distance.</w:t>
      </w:r>
    </w:p>
    <w:p>
      <w:r>
        <w:rPr>
          <w:b/>
          <w:color w:val="1F4D78"/>
        </w:rPr>
        <w:t xml:space="preserve">Preliminary core-SNP distance — shortlist. </w:t>
      </w:r>
      <w:r>
        <w:t>This study-wide matrix was used to find promising pairs efficiently. It is a screen, not the final pair-specific result.</w:t>
      </w:r>
    </w:p>
    <w:p>
      <w:r>
        <w:rPr>
          <w:b/>
          <w:color w:val="1F4D78"/>
        </w:rPr>
        <w:t xml:space="preserve">Direct SNP distance — strain-level evidence. </w:t>
      </w:r>
      <w:r>
        <w:t>The direct whole-assembly comparison is the primary pair-specific measure. The project uses ≤25 SNPs as its operational candidate threshold; that threshold supports close genomic relatedness but does not prove who transmitted to whom.</w:t>
      </w:r>
    </w:p>
    <w:p>
      <w:r>
        <w:rPr>
          <w:b/>
          <w:color w:val="1F4D78"/>
        </w:rPr>
        <w:t xml:space="preserve">Collection dates — temporal context. </w:t>
      </w:r>
      <w:r>
        <w:t>Dates help the colleague assess whether a plausible overlap exists after facility and ward/unit data are linked. A long interval weakens a simple direct-transmission interpretation even when genomes are close.</w:t>
      </w:r>
    </w:p>
    <w:p>
      <w:r>
        <w:rPr>
          <w:b/>
          <w:color w:val="1F4D78"/>
        </w:rPr>
        <w:t xml:space="preserve">AMR genes — clinical description only. </w:t>
      </w:r>
      <w:r>
        <w:t>ResFinder calls describe acquired resistance genes detected in the assemblies. AMR profiles do not determine cluster membership because genes may be gained or lost independently.</w:t>
      </w:r>
    </w:p>
    <w:p>
      <w:pPr>
        <w:pStyle w:val="Heading1"/>
        <w:keepNext/>
      </w:pPr>
      <w:r>
        <w:t>How candidates were ranked</w:t>
      </w:r>
    </w:p>
    <w:p>
      <w:r>
        <w:rPr>
          <w:b/>
          <w:color w:val="1F4D78"/>
        </w:rPr>
        <w:t xml:space="preserve">High-priority candidate. </w:t>
      </w:r>
      <w:r>
        <w:t>Different participants; same reliable ST; identical 227-gene VF profile; preliminary core-SNP distance ≤25; and direct pairwise SNP distance ≤25.</w:t>
      </w:r>
    </w:p>
    <w:p>
      <w:r>
        <w:rPr>
          <w:b/>
          <w:color w:val="1F4D78"/>
        </w:rPr>
        <w:t xml:space="preserve">Moderate-priority candidate. </w:t>
      </w:r>
      <w:r>
        <w:t>Different participants; same reliable ST; VF Jaccard ≥0.95 but not identical; preliminary SNP distance ≤25; direct validation pending or supporting information incomplete.</w:t>
      </w:r>
    </w:p>
    <w:p>
      <w:r>
        <w:rPr>
          <w:b/>
          <w:color w:val="1F4D78"/>
        </w:rPr>
        <w:t xml:space="preserve">Possible related lineage. </w:t>
      </w:r>
      <w:r>
        <w:t>Different participants with the same ST and VF Jaccard 0.90–0.949, retained for checking against nursing-home, ward/unit and timing information.</w:t>
      </w:r>
    </w:p>
    <w:p>
      <w:r>
        <w:rPr>
          <w:b/>
          <w:color w:val="1F4D78"/>
        </w:rPr>
        <w:t xml:space="preserve">Same lineage, not the same strain. </w:t>
      </w:r>
      <w:r>
        <w:t>The same ST and a similar or identical VF profile were present, but the direct distance was &gt;25 SNPs. These should not be presented as transmission candidates under the project rule.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shd w:fill="E8F1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6324F"/>
              </w:rPr>
              <w:t>Pairwise evidence remains visible in Candidate_pairs. This matters because cluster IDs are grouped from qualifying links, and pair-level distances should always be checked before making a cluster-wide statement.</w:t>
            </w:r>
          </w:p>
        </w:tc>
      </w:tr>
    </w:tbl>
    <w:p>
      <w:pPr>
        <w:pStyle w:val="Heading1"/>
        <w:keepNext/>
      </w:pPr>
      <w:r>
        <w:t>How to report an individual cluster</w:t>
      </w:r>
    </w:p>
    <w:p>
      <w:r>
        <w:rPr>
          <w:b/>
          <w:color w:val="1F4D78"/>
        </w:rPr>
        <w:t xml:space="preserve">Reusable template. </w:t>
      </w:r>
      <w:r>
        <w:t>“Candidate cluster [ID] comprised [n] isolates from [n] participants. The isolates shared ST [number] and had [identical/highly similar] detected VF profiles. Direct pairwise distances were [range] SNPs, supporting genetically closely related isolates compatible with recent common ancestry. Facility, ward/unit and timing linkage is required before any transmission interpretation.”</w:t>
      </w:r>
    </w:p>
    <w:p>
      <w:r>
        <w:rPr>
          <w:b/>
          <w:color w:val="1F4D78"/>
        </w:rPr>
        <w:t xml:space="preserve">AMR sentence, if genes are present. </w:t>
      </w:r>
      <w:r>
        <w:t>“The genomes contained [shared genes], associated with [broad resistance classes]. These are genotypic findings only; phenotypic susceptibility results were not available for confirmation.”</w:t>
      </w:r>
    </w:p>
    <w:p>
      <w:r>
        <w:rPr>
          <w:b/>
          <w:color w:val="1F4D78"/>
        </w:rPr>
        <w:t xml:space="preserve">Worked example — CGC-006. </w:t>
      </w:r>
      <w:r>
        <w:t>“CGC-006 comprised 5 isolates from 3 participants, all ST537, with identical detected VF profiles and direct pairwise distances of 5–11 SNPs. Excluding mdf(A), all members shared aph(3'')-Ib; aph(3')-Ia; aph(6)-Id; blaTEM-1B; catA1; sul2; tet(A). The represented broad classes were Aminoglycosides; Beta-lactams; Phenicols; Sulfonamides; Tetracyclines. This is a candidate genomic cluster requiring facility, ward/unit and temporal confirmation; the AMR findings are genotypic only.”</w:t>
      </w:r>
    </w:p>
    <w:p>
      <w:pPr>
        <w:pStyle w:val="Heading1"/>
        <w:keepNext/>
      </w:pPr>
      <w:r>
        <w:t>AMR interpretation</w:t>
      </w:r>
    </w:p>
    <w:p>
      <w:r>
        <w:rPr>
          <w:b/>
          <w:color w:val="1F4D78"/>
        </w:rPr>
        <w:t xml:space="preserve">Data available. </w:t>
      </w:r>
      <w:r>
        <w:t>Existing ResFinder calls filtered at ≥80% identity and ≥80% coverage.</w:t>
      </w:r>
    </w:p>
    <w:p>
      <w:r>
        <w:rPr>
          <w:b/>
          <w:color w:val="1F4D78"/>
        </w:rPr>
        <w:t xml:space="preserve">How similarity was calculated. </w:t>
      </w:r>
      <w:r>
        <w:t>AMR-profile Jaccard similarity excludes mdf(A) because it is near-ubiquitous and would otherwise inflate apparent similarity.</w:t>
      </w:r>
    </w:p>
    <w:p>
      <w:r>
        <w:rPr>
          <w:b/>
          <w:color w:val="1F4D78"/>
        </w:rPr>
        <w:t xml:space="preserve">What can be said. </w:t>
      </w:r>
      <w:r>
        <w:t>“The genome contains resistance gene X, which is associated with resistance to antibiotic class Y; phenotypic susceptibility results were not available for confirmation.”</w:t>
      </w:r>
    </w:p>
    <w:p>
      <w:r>
        <w:rPr>
          <w:b/>
          <w:color w:val="1F4D78"/>
        </w:rPr>
        <w:t xml:space="preserve">What cannot be said. </w:t>
      </w:r>
      <w:r>
        <w:t>Do not state that an isolate is clinically resistant to a particular antibiotic without MIC, disk-diffusion or other susceptibility results.</w:t>
      </w:r>
    </w:p>
    <w:p>
      <w:r>
        <w:rPr>
          <w:b/>
          <w:color w:val="1F4D78"/>
        </w:rPr>
        <w:t xml:space="preserve">Plasmids. </w:t>
      </w:r>
      <w:r>
        <w:t>Shared resistance genes do not establish that isolates share the same plasmid. Plasmid-level sequence and structural confirmation would be required.</w:t>
      </w:r>
    </w:p>
    <w:p>
      <w:pPr>
        <w:pStyle w:val="Heading1"/>
        <w:keepNext/>
      </w:pPr>
      <w:r>
        <w:t>What the colleague should do next</w:t>
      </w:r>
    </w:p>
    <w:p>
      <w:r>
        <w:rPr>
          <w:b/>
          <w:color w:val="1F4D78"/>
        </w:rPr>
        <w:t xml:space="preserve">1. </w:t>
      </w:r>
      <w:r>
        <w:t>Join the nursing-home and ward/unit variables to both cluster and pair tables using Participant_id.</w:t>
      </w:r>
    </w:p>
    <w:p>
      <w:r>
        <w:rPr>
          <w:b/>
          <w:color w:val="1F4D78"/>
        </w:rPr>
        <w:t xml:space="preserve">2. </w:t>
      </w:r>
      <w:r>
        <w:t>Check whether participants in the same candidate cluster shared a facility or unit and whether their residence/care periods overlapped or followed a plausible sequence.</w:t>
      </w:r>
    </w:p>
    <w:p>
      <w:r>
        <w:rPr>
          <w:b/>
          <w:color w:val="1F4D78"/>
        </w:rPr>
        <w:t xml:space="preserve">3. </w:t>
      </w:r>
      <w:r>
        <w:t>Review Candidate_pairs, not only Cluster_summary, to confirm that the specific epidemiologically linked pair has the expected direct SNP distance.</w:t>
      </w:r>
    </w:p>
    <w:p>
      <w:r>
        <w:rPr>
          <w:b/>
          <w:color w:val="1F4D78"/>
        </w:rPr>
        <w:t xml:space="preserve">4. </w:t>
      </w:r>
      <w:r>
        <w:t>Use lower-priority pairs only as prompts for epidemiological review; do not upgrade them solely because they share a nursing home.</w:t>
      </w:r>
    </w:p>
    <w:p>
      <w:r>
        <w:rPr>
          <w:b/>
          <w:color w:val="1F4D78"/>
        </w:rPr>
        <w:t xml:space="preserve">5. </w:t>
      </w:r>
      <w:r>
        <w:t>Describe AMR genes separately from the evidence used to define genomic clusters.</w:t>
      </w:r>
    </w:p>
    <w:p>
      <w:pPr>
        <w:pStyle w:val="Heading1"/>
        <w:keepNext/>
      </w:pPr>
      <w:r>
        <w:t>Workbook map</w:t>
      </w:r>
    </w:p>
    <w:p>
      <w:r>
        <w:rPr>
          <w:b/>
          <w:color w:val="1F4D78"/>
        </w:rPr>
        <w:t xml:space="preserve">Cluster_summary. </w:t>
      </w:r>
      <w:r>
        <w:t>A concise view of the 10 high-priority candidate genomic clusters, with participants, episodes, isolate IDs, dates, ST, direct SNP ranges, one cross-participant pair count, and shared AMR genes/classes. Uniform high-priority criteria are stated once rather than repeated in every row.</w:t>
      </w:r>
    </w:p>
    <w:p>
      <w:r>
        <w:rPr>
          <w:b/>
          <w:color w:val="1F4D78"/>
        </w:rPr>
        <w:t xml:space="preserve">Candidate_pairs. </w:t>
      </w:r>
      <w:r>
        <w:t>All 1,273 cross-participant screened pairs with preliminary SNP, VF, direct-validation and pair-level AMR evidence. This remains the key audit table for the details intentionally removed from Cluster_summary.</w:t>
      </w:r>
    </w:p>
    <w:p>
      <w:r>
        <w:rPr>
          <w:b/>
          <w:color w:val="1F4D78"/>
        </w:rPr>
        <w:t xml:space="preserve">Isolate_profiles. </w:t>
      </w:r>
      <w:r>
        <w:t>One row for each of the 532 included isolates, with identifiers, QC, ST, VF count and ResFinder profile.</w:t>
      </w:r>
    </w:p>
    <w:p>
      <w:r>
        <w:rPr>
          <w:b/>
          <w:color w:val="1F4D78"/>
        </w:rPr>
        <w:t xml:space="preserve">Excluded_isolates. </w:t>
      </w:r>
      <w:r>
        <w:t>The 24 emailed rows outside the current cohort: 22 failed current assembly QC with BadSize and two had no matching row in the current canonical assembly manifest.</w:t>
      </w:r>
    </w:p>
    <w:p>
      <w:r>
        <w:rPr>
          <w:b/>
          <w:color w:val="1F4D78"/>
        </w:rPr>
        <w:t xml:space="preserve">Interpretation_guide. </w:t>
      </w:r>
      <w:r>
        <w:t>Plain-language definitions and recommended/avoided wording for ST, VF profiles, SNP distance, AMR, nursing-home linkage and plasmids.</w:t>
      </w:r>
    </w:p>
    <w:p>
      <w:pPr>
        <w:pStyle w:val="Heading1"/>
        <w:keepNext/>
      </w:pPr>
      <w:r>
        <w:t>Preferred and avoided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46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Avoid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candidate genomic cluster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confirmed outbreak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color w:val="1F2937"/>
                <w:sz w:val="19"/>
              </w:rPr>
              <w:t>genetically closely related isolates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transmission occurred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compatible with recent common ancestry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the same strain based only on ST or VF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color w:val="1F2937"/>
                <w:sz w:val="19"/>
              </w:rPr>
              <w:t>shared resistance-gene profile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clinically resistant based only on gene detection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color w:val="1F2937"/>
                <w:sz w:val="19"/>
              </w:rPr>
              <w:t>requires epidemiological confirmation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shared plasmid without plasmid-level confirmation</w:t>
            </w:r>
          </w:p>
        </w:tc>
      </w:tr>
    </w:tbl>
    <w:p>
      <w:pPr>
        <w:pStyle w:val="Heading1"/>
        <w:keepNext/>
      </w:pPr>
      <w:r>
        <w:t>Limitations to state explicitly</w:t>
      </w:r>
    </w:p>
    <w:p>
      <w:r>
        <w:rPr>
          <w:b/>
          <w:color w:val="1F4D78"/>
        </w:rPr>
        <w:t xml:space="preserve">No facility metadata in the genomic files. </w:t>
      </w:r>
      <w:r>
        <w:t>Genetic clusters cannot be called nursing-home clusters until the colleague completes the Participant_id linkage.</w:t>
      </w:r>
    </w:p>
    <w:p>
      <w:r>
        <w:rPr>
          <w:b/>
          <w:color w:val="1F4D78"/>
        </w:rPr>
        <w:t xml:space="preserve">No phenotypic susceptibility data. </w:t>
      </w:r>
      <w:r>
        <w:t>ResFinder results predict potential resistance mechanisms but do not confirm the clinical phenotype.</w:t>
      </w:r>
    </w:p>
    <w:p>
      <w:r>
        <w:rPr>
          <w:b/>
          <w:color w:val="1F4D78"/>
        </w:rPr>
        <w:t xml:space="preserve">No plasmid-level inference. </w:t>
      </w:r>
      <w:r>
        <w:t>This analysis did not reconstruct or compare complete plasmid sequences.</w:t>
      </w:r>
    </w:p>
    <w:p>
      <w:r>
        <w:rPr>
          <w:b/>
          <w:color w:val="1F4D78"/>
        </w:rPr>
        <w:t xml:space="preserve">Operational SNP threshold. </w:t>
      </w:r>
      <w:r>
        <w:t>The ≤25-SNP rule is the project threshold for candidate relatedness, not a universal biological boundary and not proof of direct transmission.</w:t>
      </w:r>
    </w:p>
    <w:p>
      <w:r>
        <w:rPr>
          <w:b/>
          <w:color w:val="1F4D78"/>
        </w:rPr>
        <w:t xml:space="preserve">Sampling limits. </w:t>
      </w:r>
      <w:r>
        <w:t>Unsampled residents, staff, environmental sources or community intermediates may explain apparent links or gaps.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0AD47"/>
          <w:left w:val="single" w:sz="8" w:color="70AD47"/>
          <w:bottom w:val="single" w:sz="8" w:color="70AD47"/>
          <w:right w:val="single" w:sz="8" w:color="70AD47"/>
          <w:insideH w:val="single" w:sz="8" w:color="70AD47"/>
          <w:insideV w:val="single" w:sz="8" w:color="70AD47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6324F"/>
              </w:rPr>
              <w:t>Final reporting principle: keep three claims separate—genetic relatedness, epidemiological linkage, and predicted resistance.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4680"/>
      <w:gridCol w:w="4680"/>
    </w:tblGrid>
    <w:tr>
      <w:tc>
        <w:tcPr>
          <w:tcW w:type="dxa" w:w="7920"/>
        </w:tcPr>
        <w:p>
          <w:pPr>
            <w:spacing w:after="0"/>
          </w:pPr>
          <w:r>
            <w:rPr>
              <w:color w:val="5B6573"/>
              <w:sz w:val="16"/>
            </w:rPr>
            <w:t>Genetics-first screen • research interpretation only</w:t>
          </w:r>
        </w:p>
      </w:tc>
      <w:tc>
        <w:tcPr>
          <w:tcW w:type="dxa" w:w="1440"/>
        </w:tcPr>
        <w:p>
          <w:pPr>
            <w:spacing w:after="0"/>
            <w:jc w:val="right"/>
          </w:pPr>
          <w:r>
            <w:rPr>
              <w:color w:val="5B6573"/>
              <w:sz w:val="16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16324F"/>
        <w:left w:val="single" w:sz="0" w:color="16324F"/>
        <w:bottom w:val="single" w:sz="0" w:color="16324F"/>
        <w:right w:val="single" w:sz="0" w:color="16324F"/>
        <w:insideH w:val="single" w:sz="0" w:color="16324F"/>
        <w:insideV w:val="single" w:sz="0" w:color="16324F"/>
      </w:tblBorders>
    </w:tblPr>
    <w:tblGrid>
      <w:gridCol w:w="4680"/>
      <w:gridCol w:w="4680"/>
    </w:tblGrid>
    <w:tr>
      <w:tc>
        <w:tcPr>
          <w:tcW w:type="dxa" w:w="6768"/>
          <w:shd w:fill="16324F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b/>
              <w:color w:val="FFFFFF"/>
              <w:sz w:val="18"/>
            </w:rPr>
            <w:t>GENOMIC CLUSTER REVIEW</w:t>
          </w:r>
        </w:p>
      </w:tc>
      <w:tc>
        <w:tcPr>
          <w:tcW w:type="dxa" w:w="2592"/>
          <w:shd w:fill="16324F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b/>
              <w:color w:val="FFFFFF"/>
              <w:sz w:val="18"/>
            </w:rPr>
            <w:t>17 JULY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