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0EAC2" w14:textId="77777777" w:rsidR="00DC08A2" w:rsidRPr="008F5F52" w:rsidRDefault="00000000" w:rsidP="008F5F52">
      <w:pPr>
        <w:pStyle w:val="Heading1"/>
        <w:jc w:val="both"/>
        <w:rPr>
          <w:rFonts w:ascii="Times New Roman" w:hAnsi="Times New Roman" w:cs="Times New Roman"/>
        </w:rPr>
      </w:pPr>
      <w:bookmarkStart w:id="0" w:name="X843d35c4ffbb598890e483549aa325112f72e02"/>
      <w:r w:rsidRPr="008F5F52">
        <w:rPr>
          <w:rFonts w:ascii="Times New Roman" w:hAnsi="Times New Roman" w:cs="Times New Roman"/>
        </w:rPr>
        <w:t>Advanced Spatial ML Report: XV Point-Cloud Disease Classification</w:t>
      </w:r>
    </w:p>
    <w:p w14:paraId="113B0D0A" w14:textId="77777777" w:rsidR="00DC08A2" w:rsidRPr="008F5F52" w:rsidRDefault="00000000" w:rsidP="008F5F52">
      <w:pPr>
        <w:pStyle w:val="FirstParagraph"/>
        <w:jc w:val="both"/>
        <w:rPr>
          <w:rFonts w:ascii="Times New Roman" w:hAnsi="Times New Roman" w:cs="Times New Roman"/>
        </w:rPr>
      </w:pPr>
      <w:r w:rsidRPr="008F5F52">
        <w:rPr>
          <w:rFonts w:ascii="Times New Roman" w:hAnsi="Times New Roman" w:cs="Times New Roman"/>
          <w:b/>
          <w:bCs/>
        </w:rPr>
        <w:t>Cohort Size:</w:t>
      </w:r>
      <w:r w:rsidRPr="008F5F52">
        <w:rPr>
          <w:rFonts w:ascii="Times New Roman" w:hAnsi="Times New Roman" w:cs="Times New Roman"/>
        </w:rPr>
        <w:t xml:space="preserve"> 8 Mice (n=8) → Spatially Augmented to n=666 Lung Regions</w:t>
      </w:r>
      <w:r w:rsidRPr="008F5F52">
        <w:rPr>
          <w:rFonts w:ascii="Times New Roman" w:hAnsi="Times New Roman" w:cs="Times New Roman"/>
        </w:rPr>
        <w:br/>
      </w:r>
      <w:r w:rsidRPr="008F5F52">
        <w:rPr>
          <w:rFonts w:ascii="Times New Roman" w:hAnsi="Times New Roman" w:cs="Times New Roman"/>
          <w:b/>
          <w:bCs/>
        </w:rPr>
        <w:t>Algorithms Tested:</w:t>
      </w:r>
      <w:r w:rsidRPr="008F5F52">
        <w:rPr>
          <w:rFonts w:ascii="Times New Roman" w:hAnsi="Times New Roman" w:cs="Times New Roman"/>
        </w:rPr>
        <w:t xml:space="preserve"> Random Forest, XGBoost, Gradient Boosting, SVM (RBF), Soft-Vote Ensemble</w:t>
      </w:r>
      <w:r w:rsidRPr="008F5F52">
        <w:rPr>
          <w:rFonts w:ascii="Times New Roman" w:hAnsi="Times New Roman" w:cs="Times New Roman"/>
        </w:rPr>
        <w:br/>
      </w:r>
      <w:r w:rsidRPr="008F5F52">
        <w:rPr>
          <w:rFonts w:ascii="Times New Roman" w:hAnsi="Times New Roman" w:cs="Times New Roman"/>
          <w:b/>
          <w:bCs/>
        </w:rPr>
        <w:t>Validation Paradigm:</w:t>
      </w:r>
      <w:r w:rsidRPr="008F5F52">
        <w:rPr>
          <w:rFonts w:ascii="Times New Roman" w:hAnsi="Times New Roman" w:cs="Times New Roman"/>
        </w:rPr>
        <w:t xml:space="preserve"> Leave-One-Group-Out Cross-Validation (LOGOCV, Fold=8)</w:t>
      </w:r>
    </w:p>
    <w:p w14:paraId="5D73E422" w14:textId="3DCB569B" w:rsidR="00DC08A2" w:rsidRPr="008F5F52" w:rsidRDefault="00000000" w:rsidP="008F5F52">
      <w:pPr>
        <w:jc w:val="both"/>
        <w:rPr>
          <w:rFonts w:ascii="Times New Roman" w:hAnsi="Times New Roman" w:cs="Times New Roman"/>
        </w:rPr>
      </w:pPr>
      <w:r w:rsidRPr="008F5F52">
        <w:rPr>
          <w:rFonts w:ascii="Times New Roman" w:hAnsi="Times New Roman" w:cs="Times New Roman"/>
        </w:rPr>
        <w:pict w14:anchorId="1D9AECD9">
          <v:rect id="_x0000_i1058" style="width:0;height:1.5pt" o:hralign="center" o:hrstd="t" o:hr="t"/>
        </w:pict>
      </w:r>
      <w:bookmarkStart w:id="1" w:name="X713e89e4041d04c711701cf182421b7a9b4feb3"/>
      <w:bookmarkStart w:id="2" w:name="solutions-implemented"/>
    </w:p>
    <w:p w14:paraId="4203D421" w14:textId="20895F20" w:rsidR="00DC08A2" w:rsidRPr="008F5F52" w:rsidRDefault="000C1E51" w:rsidP="008F5F52">
      <w:pPr>
        <w:pStyle w:val="Heading2"/>
        <w:jc w:val="both"/>
        <w:rPr>
          <w:rFonts w:ascii="Times New Roman" w:hAnsi="Times New Roman" w:cs="Times New Roman"/>
        </w:rPr>
      </w:pPr>
      <w:bookmarkStart w:id="3" w:name="Xc11accf0fe9b9d29a195e9dcb8c2807e41ef71d"/>
      <w:bookmarkEnd w:id="1"/>
      <w:bookmarkEnd w:id="2"/>
      <w:r>
        <w:rPr>
          <w:rFonts w:ascii="Times New Roman" w:hAnsi="Times New Roman" w:cs="Times New Roman"/>
        </w:rPr>
        <w:t>1</w:t>
      </w:r>
      <w:r w:rsidR="00000000" w:rsidRPr="008F5F52">
        <w:rPr>
          <w:rFonts w:ascii="Times New Roman" w:hAnsi="Times New Roman" w:cs="Times New Roman"/>
        </w:rPr>
        <w:t>. Feature Engineering: 13 Biologically Meaningful Regional Metrics</w:t>
      </w:r>
    </w:p>
    <w:p w14:paraId="27EDBF6B" w14:textId="77777777" w:rsidR="00DC08A2" w:rsidRPr="008F5F52" w:rsidRDefault="00000000" w:rsidP="008F5F52">
      <w:pPr>
        <w:pStyle w:val="FirstParagraph"/>
        <w:jc w:val="both"/>
        <w:rPr>
          <w:rFonts w:ascii="Times New Roman" w:hAnsi="Times New Roman" w:cs="Times New Roman"/>
        </w:rPr>
      </w:pPr>
      <w:r w:rsidRPr="008F5F52">
        <w:rPr>
          <w:rFonts w:ascii="Times New Roman" w:hAnsi="Times New Roman" w:cs="Times New Roman"/>
        </w:rPr>
        <w:t>For each of the 666 active lung regions, I extracted the following per-region statistics directly from the raw Specific Ventilation (SV) point clouds:</w:t>
      </w:r>
    </w:p>
    <w:p w14:paraId="66D54602" w14:textId="77777777" w:rsidR="00DC08A2" w:rsidRPr="008F5F52" w:rsidRDefault="00000000" w:rsidP="008F5F52">
      <w:pPr>
        <w:pStyle w:val="BodyText"/>
        <w:jc w:val="both"/>
        <w:rPr>
          <w:rFonts w:ascii="Times New Roman" w:hAnsi="Times New Roman" w:cs="Times New Roman"/>
        </w:rPr>
      </w:pPr>
      <w:r w:rsidRPr="008F5F52">
        <w:rPr>
          <w:rFonts w:ascii="Times New Roman" w:hAnsi="Times New Roman" w:cs="Times New Roman"/>
          <w:b/>
          <w:bCs/>
        </w:rPr>
        <w:t>Table 1: Regional Feature Definitions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DC08A2" w:rsidRPr="008F5F52" w14:paraId="1FC1CFC3" w14:textId="77777777" w:rsidTr="002F64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1EEBA846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Feature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51A34E56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Definition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010108F8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Biological Meaning</w:t>
            </w:r>
          </w:p>
        </w:tc>
      </w:tr>
      <w:tr w:rsidR="00DC08A2" w:rsidRPr="008F5F52" w14:paraId="53F0B13A" w14:textId="77777777" w:rsidTr="002F64C0">
        <w:tc>
          <w:tcPr>
            <w:tcW w:w="2640" w:type="dxa"/>
          </w:tcPr>
          <w:p w14:paraId="694C321F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Style w:val="VerbatimChar"/>
                <w:rFonts w:ascii="Times New Roman" w:hAnsi="Times New Roman" w:cs="Times New Roman"/>
              </w:rPr>
              <w:t>SV_Mean</w:t>
            </w:r>
          </w:p>
        </w:tc>
        <w:tc>
          <w:tcPr>
            <w:tcW w:w="2640" w:type="dxa"/>
          </w:tcPr>
          <w:p w14:paraId="2B2BC324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Mean SV of all voxels in the region</w:t>
            </w:r>
          </w:p>
        </w:tc>
        <w:tc>
          <w:tcPr>
            <w:tcW w:w="2640" w:type="dxa"/>
          </w:tcPr>
          <w:p w14:paraId="48E9FF37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Average local ventilatory capacity</w:t>
            </w:r>
          </w:p>
        </w:tc>
      </w:tr>
      <w:tr w:rsidR="00DC08A2" w:rsidRPr="008F5F52" w14:paraId="25DBA2EA" w14:textId="77777777" w:rsidTr="002F64C0">
        <w:tc>
          <w:tcPr>
            <w:tcW w:w="2640" w:type="dxa"/>
          </w:tcPr>
          <w:p w14:paraId="53CBEC84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Style w:val="VerbatimChar"/>
                <w:rFonts w:ascii="Times New Roman" w:hAnsi="Times New Roman" w:cs="Times New Roman"/>
              </w:rPr>
              <w:t>SV_Median</w:t>
            </w:r>
          </w:p>
        </w:tc>
        <w:tc>
          <w:tcPr>
            <w:tcW w:w="2640" w:type="dxa"/>
          </w:tcPr>
          <w:p w14:paraId="513D53C0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Median SV</w:t>
            </w:r>
          </w:p>
        </w:tc>
        <w:tc>
          <w:tcPr>
            <w:tcW w:w="2640" w:type="dxa"/>
          </w:tcPr>
          <w:p w14:paraId="38C2D7C0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Robust central tendency (resistant to outliers)</w:t>
            </w:r>
          </w:p>
        </w:tc>
      </w:tr>
      <w:tr w:rsidR="00DC08A2" w:rsidRPr="008F5F52" w14:paraId="08A36C3F" w14:textId="77777777" w:rsidTr="002F64C0">
        <w:tc>
          <w:tcPr>
            <w:tcW w:w="2640" w:type="dxa"/>
          </w:tcPr>
          <w:p w14:paraId="7605AD64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Style w:val="VerbatimChar"/>
                <w:rFonts w:ascii="Times New Roman" w:hAnsi="Times New Roman" w:cs="Times New Roman"/>
              </w:rPr>
              <w:t>SV_Std</w:t>
            </w:r>
          </w:p>
        </w:tc>
        <w:tc>
          <w:tcPr>
            <w:tcW w:w="2640" w:type="dxa"/>
          </w:tcPr>
          <w:p w14:paraId="52D9D2FB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Standard deviation of SV</w:t>
            </w:r>
          </w:p>
        </w:tc>
        <w:tc>
          <w:tcPr>
            <w:tcW w:w="2640" w:type="dxa"/>
          </w:tcPr>
          <w:p w14:paraId="097FD88E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Regional functional heterogeneity</w:t>
            </w:r>
          </w:p>
        </w:tc>
      </w:tr>
      <w:tr w:rsidR="00DC08A2" w:rsidRPr="008F5F52" w14:paraId="7FE42BA4" w14:textId="77777777" w:rsidTr="002F64C0">
        <w:tc>
          <w:tcPr>
            <w:tcW w:w="2640" w:type="dxa"/>
          </w:tcPr>
          <w:p w14:paraId="007C6A42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Style w:val="VerbatimChar"/>
                <w:rFonts w:ascii="Times New Roman" w:hAnsi="Times New Roman" w:cs="Times New Roman"/>
              </w:rPr>
              <w:t>SV_IQR</w:t>
            </w:r>
          </w:p>
        </w:tc>
        <w:tc>
          <w:tcPr>
            <w:tcW w:w="2640" w:type="dxa"/>
          </w:tcPr>
          <w:p w14:paraId="40051063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Interquartile range (Q75–Q25)</w:t>
            </w:r>
          </w:p>
        </w:tc>
        <w:tc>
          <w:tcPr>
            <w:tcW w:w="2640" w:type="dxa"/>
          </w:tcPr>
          <w:p w14:paraId="1D527877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Spread of ventilation within the region</w:t>
            </w:r>
          </w:p>
        </w:tc>
      </w:tr>
      <w:tr w:rsidR="00DC08A2" w:rsidRPr="008F5F52" w14:paraId="03998938" w14:textId="77777777" w:rsidTr="002F64C0">
        <w:tc>
          <w:tcPr>
            <w:tcW w:w="2640" w:type="dxa"/>
          </w:tcPr>
          <w:p w14:paraId="6F6B3E8B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Style w:val="VerbatimChar"/>
                <w:rFonts w:ascii="Times New Roman" w:hAnsi="Times New Roman" w:cs="Times New Roman"/>
              </w:rPr>
              <w:t>SV_Skewness</w:t>
            </w:r>
          </w:p>
        </w:tc>
        <w:tc>
          <w:tcPr>
            <w:tcW w:w="2640" w:type="dxa"/>
          </w:tcPr>
          <w:p w14:paraId="004B4007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3rd moment (distribution shape)</w:t>
            </w:r>
          </w:p>
        </w:tc>
        <w:tc>
          <w:tcPr>
            <w:tcW w:w="2640" w:type="dxa"/>
          </w:tcPr>
          <w:p w14:paraId="61E404D0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Asymmetric tails indicate pooling/trapping</w:t>
            </w:r>
          </w:p>
        </w:tc>
      </w:tr>
      <w:tr w:rsidR="00DC08A2" w:rsidRPr="008F5F52" w14:paraId="48A686A7" w14:textId="77777777" w:rsidTr="002F64C0">
        <w:tc>
          <w:tcPr>
            <w:tcW w:w="2640" w:type="dxa"/>
          </w:tcPr>
          <w:p w14:paraId="3431C930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Style w:val="VerbatimChar"/>
                <w:rFonts w:ascii="Times New Roman" w:hAnsi="Times New Roman" w:cs="Times New Roman"/>
              </w:rPr>
              <w:t>SV_Kurtosis</w:t>
            </w:r>
          </w:p>
        </w:tc>
        <w:tc>
          <w:tcPr>
            <w:tcW w:w="2640" w:type="dxa"/>
          </w:tcPr>
          <w:p w14:paraId="750017D7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4th moment (peakedness)</w:t>
            </w:r>
          </w:p>
        </w:tc>
        <w:tc>
          <w:tcPr>
            <w:tcW w:w="2640" w:type="dxa"/>
          </w:tcPr>
          <w:p w14:paraId="1F9F9868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Kurtosis &gt;3 indicates sharp, focal deficit clusters</w:t>
            </w:r>
          </w:p>
        </w:tc>
      </w:tr>
      <w:tr w:rsidR="00DC08A2" w:rsidRPr="008F5F52" w14:paraId="44C1F626" w14:textId="77777777" w:rsidTr="002F64C0">
        <w:tc>
          <w:tcPr>
            <w:tcW w:w="2640" w:type="dxa"/>
          </w:tcPr>
          <w:p w14:paraId="37888956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Style w:val="VerbatimChar"/>
                <w:rFonts w:ascii="Times New Roman" w:hAnsi="Times New Roman" w:cs="Times New Roman"/>
              </w:rPr>
              <w:t>SV_p10</w:t>
            </w:r>
          </w:p>
        </w:tc>
        <w:tc>
          <w:tcPr>
            <w:tcW w:w="2640" w:type="dxa"/>
          </w:tcPr>
          <w:p w14:paraId="0C098BD3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10th percentile SV</w:t>
            </w:r>
          </w:p>
        </w:tc>
        <w:tc>
          <w:tcPr>
            <w:tcW w:w="2640" w:type="dxa"/>
          </w:tcPr>
          <w:p w14:paraId="6545E07D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Lower boundary of low-ventilation tissue</w:t>
            </w:r>
          </w:p>
        </w:tc>
      </w:tr>
      <w:tr w:rsidR="00DC08A2" w:rsidRPr="008F5F52" w14:paraId="63E46060" w14:textId="77777777" w:rsidTr="002F64C0">
        <w:tc>
          <w:tcPr>
            <w:tcW w:w="2640" w:type="dxa"/>
          </w:tcPr>
          <w:p w14:paraId="600CE85E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Style w:val="VerbatimChar"/>
                <w:rFonts w:ascii="Times New Roman" w:hAnsi="Times New Roman" w:cs="Times New Roman"/>
              </w:rPr>
              <w:t>SV_p90</w:t>
            </w:r>
          </w:p>
        </w:tc>
        <w:tc>
          <w:tcPr>
            <w:tcW w:w="2640" w:type="dxa"/>
          </w:tcPr>
          <w:p w14:paraId="6A3B52CF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90th percentile SV</w:t>
            </w:r>
          </w:p>
        </w:tc>
        <w:tc>
          <w:tcPr>
            <w:tcW w:w="2640" w:type="dxa"/>
          </w:tcPr>
          <w:p w14:paraId="00E4C84A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Upper boundary of over-compensating tissue</w:t>
            </w:r>
          </w:p>
        </w:tc>
      </w:tr>
      <w:tr w:rsidR="00DC08A2" w:rsidRPr="008F5F52" w14:paraId="62A41085" w14:textId="77777777" w:rsidTr="002F64C0">
        <w:tc>
          <w:tcPr>
            <w:tcW w:w="2640" w:type="dxa"/>
          </w:tcPr>
          <w:p w14:paraId="4B522422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Style w:val="VerbatimChar"/>
                <w:rFonts w:ascii="Times New Roman" w:hAnsi="Times New Roman" w:cs="Times New Roman"/>
              </w:rPr>
              <w:t>Defect_Frac</w:t>
            </w:r>
          </w:p>
        </w:tc>
        <w:tc>
          <w:tcPr>
            <w:tcW w:w="2640" w:type="dxa"/>
          </w:tcPr>
          <w:p w14:paraId="294108D1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Fraction of voxels where SV &lt; 0.05</w:t>
            </w:r>
          </w:p>
        </w:tc>
        <w:tc>
          <w:tcPr>
            <w:tcW w:w="2640" w:type="dxa"/>
          </w:tcPr>
          <w:p w14:paraId="3EFBF2F2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Proportion of severely obstructed regions</w:t>
            </w:r>
          </w:p>
        </w:tc>
      </w:tr>
      <w:tr w:rsidR="00DC08A2" w:rsidRPr="008F5F52" w14:paraId="1F7FB870" w14:textId="77777777" w:rsidTr="002F64C0">
        <w:tc>
          <w:tcPr>
            <w:tcW w:w="2640" w:type="dxa"/>
          </w:tcPr>
          <w:p w14:paraId="4B1A99A7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Style w:val="VerbatimChar"/>
                <w:rFonts w:ascii="Times New Roman" w:hAnsi="Times New Roman" w:cs="Times New Roman"/>
              </w:rPr>
              <w:t>Hyper_Frac</w:t>
            </w:r>
          </w:p>
        </w:tc>
        <w:tc>
          <w:tcPr>
            <w:tcW w:w="2640" w:type="dxa"/>
          </w:tcPr>
          <w:p w14:paraId="5685859E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Fraction of voxels where SV &gt; 0.80</w:t>
            </w:r>
          </w:p>
        </w:tc>
        <w:tc>
          <w:tcPr>
            <w:tcW w:w="2640" w:type="dxa"/>
          </w:tcPr>
          <w:p w14:paraId="5B63D218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Compensatory hyper-inflation fraction</w:t>
            </w:r>
          </w:p>
        </w:tc>
      </w:tr>
      <w:tr w:rsidR="00DC08A2" w:rsidRPr="008F5F52" w14:paraId="114C9A28" w14:textId="77777777" w:rsidTr="002F64C0">
        <w:tc>
          <w:tcPr>
            <w:tcW w:w="2640" w:type="dxa"/>
          </w:tcPr>
          <w:p w14:paraId="01D372BD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Style w:val="VerbatimChar"/>
                <w:rFonts w:ascii="Times New Roman" w:hAnsi="Times New Roman" w:cs="Times New Roman"/>
              </w:rPr>
              <w:t>X_Bin</w:t>
            </w:r>
            <w:r w:rsidRPr="008F5F52">
              <w:rPr>
                <w:rFonts w:ascii="Times New Roman" w:hAnsi="Times New Roman" w:cs="Times New Roman"/>
              </w:rPr>
              <w:t xml:space="preserve">, </w:t>
            </w:r>
            <w:r w:rsidRPr="008F5F52">
              <w:rPr>
                <w:rStyle w:val="VerbatimChar"/>
                <w:rFonts w:ascii="Times New Roman" w:hAnsi="Times New Roman" w:cs="Times New Roman"/>
              </w:rPr>
              <w:t>Y_Bin</w:t>
            </w:r>
            <w:r w:rsidRPr="008F5F52">
              <w:rPr>
                <w:rFonts w:ascii="Times New Roman" w:hAnsi="Times New Roman" w:cs="Times New Roman"/>
              </w:rPr>
              <w:t xml:space="preserve">, </w:t>
            </w:r>
            <w:r w:rsidRPr="008F5F52">
              <w:rPr>
                <w:rStyle w:val="VerbatimChar"/>
                <w:rFonts w:ascii="Times New Roman" w:hAnsi="Times New Roman" w:cs="Times New Roman"/>
              </w:rPr>
              <w:t>Z_Bin</w:t>
            </w:r>
          </w:p>
        </w:tc>
        <w:tc>
          <w:tcPr>
            <w:tcW w:w="2640" w:type="dxa"/>
          </w:tcPr>
          <w:p w14:paraId="27E56C2B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3D grid position</w:t>
            </w:r>
          </w:p>
        </w:tc>
        <w:tc>
          <w:tcPr>
            <w:tcW w:w="2640" w:type="dxa"/>
          </w:tcPr>
          <w:p w14:paraId="2773673F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Spatial anatomical coordinates</w:t>
            </w:r>
          </w:p>
        </w:tc>
      </w:tr>
    </w:tbl>
    <w:p w14:paraId="42C2A1D6" w14:textId="20FD305B" w:rsidR="00DC08A2" w:rsidRPr="008F5F52" w:rsidRDefault="00DC08A2" w:rsidP="008F5F52">
      <w:pPr>
        <w:jc w:val="both"/>
        <w:rPr>
          <w:rFonts w:ascii="Times New Roman" w:hAnsi="Times New Roman" w:cs="Times New Roman"/>
        </w:rPr>
      </w:pPr>
    </w:p>
    <w:p w14:paraId="3FC75626" w14:textId="61A34CD9" w:rsidR="00DC08A2" w:rsidRPr="008F5F52" w:rsidRDefault="000C1E51" w:rsidP="008F5F52">
      <w:pPr>
        <w:pStyle w:val="Heading2"/>
        <w:jc w:val="both"/>
        <w:rPr>
          <w:rFonts w:ascii="Times New Roman" w:hAnsi="Times New Roman" w:cs="Times New Roman"/>
        </w:rPr>
      </w:pPr>
      <w:bookmarkStart w:id="4" w:name="X12da744b9c5c3d587b6d408a3937cc3531ac33f"/>
      <w:bookmarkEnd w:id="3"/>
      <w:r>
        <w:rPr>
          <w:rFonts w:ascii="Times New Roman" w:hAnsi="Times New Roman" w:cs="Times New Roman"/>
        </w:rPr>
        <w:lastRenderedPageBreak/>
        <w:t>2</w:t>
      </w:r>
      <w:r w:rsidR="00000000" w:rsidRPr="008F5F52">
        <w:rPr>
          <w:rFonts w:ascii="Times New Roman" w:hAnsi="Times New Roman" w:cs="Times New Roman"/>
        </w:rPr>
        <w:t>. Class Balancing: SMOTE Applied Inside Every LOGOCV Fold</w:t>
      </w:r>
    </w:p>
    <w:p w14:paraId="5D40CD9D" w14:textId="77777777" w:rsidR="00DC08A2" w:rsidRPr="008F5F52" w:rsidRDefault="00000000" w:rsidP="008F5F52">
      <w:pPr>
        <w:pStyle w:val="FirstParagraph"/>
        <w:jc w:val="both"/>
        <w:rPr>
          <w:rFonts w:ascii="Times New Roman" w:hAnsi="Times New Roman" w:cs="Times New Roman"/>
        </w:rPr>
      </w:pPr>
      <w:r w:rsidRPr="008F5F52">
        <w:rPr>
          <w:rFonts w:ascii="Times New Roman" w:hAnsi="Times New Roman" w:cs="Times New Roman"/>
        </w:rPr>
        <w:t>In every cross-validation fold, I applied Synthetic Minority Over-sampling (SMOTE) exclusively on the training split, thereby: - Strictly preventing any test-data contamination. - Producing synthetic Control-class training regions that match the distribution of the real Control mice. - Normalizing the training class ratio to 50:50 for all 5 algorithms.</w:t>
      </w:r>
    </w:p>
    <w:p w14:paraId="1A1CE9C3" w14:textId="2C34E388" w:rsidR="00DC08A2" w:rsidRPr="008F5F52" w:rsidRDefault="00DC08A2" w:rsidP="008F5F52">
      <w:pPr>
        <w:jc w:val="both"/>
        <w:rPr>
          <w:rFonts w:ascii="Times New Roman" w:hAnsi="Times New Roman" w:cs="Times New Roman"/>
        </w:rPr>
      </w:pPr>
    </w:p>
    <w:p w14:paraId="62409CA1" w14:textId="2574ECCD" w:rsidR="00DC08A2" w:rsidRPr="008F5F52" w:rsidRDefault="000C1E51" w:rsidP="008F5F52">
      <w:pPr>
        <w:pStyle w:val="Heading2"/>
        <w:jc w:val="both"/>
        <w:rPr>
          <w:rFonts w:ascii="Times New Roman" w:hAnsi="Times New Roman" w:cs="Times New Roman"/>
        </w:rPr>
      </w:pPr>
      <w:bookmarkStart w:id="5" w:name="model-performance-after-improvement"/>
      <w:bookmarkEnd w:id="4"/>
      <w:r>
        <w:rPr>
          <w:rFonts w:ascii="Times New Roman" w:hAnsi="Times New Roman" w:cs="Times New Roman"/>
        </w:rPr>
        <w:t>3</w:t>
      </w:r>
      <w:r w:rsidR="00000000" w:rsidRPr="008F5F52">
        <w:rPr>
          <w:rFonts w:ascii="Times New Roman" w:hAnsi="Times New Roman" w:cs="Times New Roman"/>
        </w:rPr>
        <w:t xml:space="preserve">. Model Performance </w:t>
      </w:r>
    </w:p>
    <w:p w14:paraId="63C5AE91" w14:textId="77777777" w:rsidR="00DC08A2" w:rsidRPr="008F5F52" w:rsidRDefault="00000000" w:rsidP="008F5F52">
      <w:pPr>
        <w:pStyle w:val="FirstParagraph"/>
        <w:jc w:val="both"/>
        <w:rPr>
          <w:rFonts w:ascii="Times New Roman" w:hAnsi="Times New Roman" w:cs="Times New Roman"/>
        </w:rPr>
      </w:pPr>
      <w:r w:rsidRPr="008F5F52">
        <w:rPr>
          <w:rFonts w:ascii="Times New Roman" w:hAnsi="Times New Roman" w:cs="Times New Roman"/>
          <w:b/>
          <w:bCs/>
        </w:rPr>
        <w:t>Table 2: Final Comparative LOGOCV Results (n=666 Regions, SMOTE Balanced)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802"/>
        <w:gridCol w:w="1275"/>
        <w:gridCol w:w="1418"/>
        <w:gridCol w:w="1417"/>
        <w:gridCol w:w="1418"/>
        <w:gridCol w:w="1246"/>
      </w:tblGrid>
      <w:tr w:rsidR="00DC08A2" w:rsidRPr="008F5F52" w14:paraId="66370BD6" w14:textId="77777777" w:rsidTr="008F5F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02" w:type="dxa"/>
            <w:tcBorders>
              <w:bottom w:val="none" w:sz="0" w:space="0" w:color="auto"/>
            </w:tcBorders>
          </w:tcPr>
          <w:p w14:paraId="31C6E7F6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1275" w:type="dxa"/>
            <w:tcBorders>
              <w:bottom w:val="none" w:sz="0" w:space="0" w:color="auto"/>
            </w:tcBorders>
          </w:tcPr>
          <w:p w14:paraId="36BDA8CD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1418" w:type="dxa"/>
            <w:tcBorders>
              <w:bottom w:val="none" w:sz="0" w:space="0" w:color="auto"/>
            </w:tcBorders>
          </w:tcPr>
          <w:p w14:paraId="2501918C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Sensitivity (Tumor)</w:t>
            </w:r>
          </w:p>
        </w:tc>
        <w:tc>
          <w:tcPr>
            <w:tcW w:w="1417" w:type="dxa"/>
            <w:tcBorders>
              <w:bottom w:val="none" w:sz="0" w:space="0" w:color="auto"/>
            </w:tcBorders>
          </w:tcPr>
          <w:p w14:paraId="48396FDE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Specificity (Control)</w:t>
            </w:r>
          </w:p>
        </w:tc>
        <w:tc>
          <w:tcPr>
            <w:tcW w:w="1418" w:type="dxa"/>
            <w:tcBorders>
              <w:bottom w:val="none" w:sz="0" w:space="0" w:color="auto"/>
            </w:tcBorders>
          </w:tcPr>
          <w:p w14:paraId="5E85607A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ROC-AUC</w:t>
            </w:r>
          </w:p>
        </w:tc>
        <w:tc>
          <w:tcPr>
            <w:tcW w:w="1246" w:type="dxa"/>
            <w:tcBorders>
              <w:bottom w:val="none" w:sz="0" w:space="0" w:color="auto"/>
            </w:tcBorders>
          </w:tcPr>
          <w:p w14:paraId="3DD31770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F1-Score</w:t>
            </w:r>
          </w:p>
        </w:tc>
      </w:tr>
      <w:tr w:rsidR="00DC08A2" w:rsidRPr="008F5F52" w14:paraId="17E1A6CC" w14:textId="77777777" w:rsidTr="008F5F52">
        <w:tc>
          <w:tcPr>
            <w:tcW w:w="2802" w:type="dxa"/>
          </w:tcPr>
          <w:p w14:paraId="68CDFD03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  <w:b/>
                <w:bCs/>
              </w:rPr>
              <w:t>XGBoost</w:t>
            </w:r>
          </w:p>
        </w:tc>
        <w:tc>
          <w:tcPr>
            <w:tcW w:w="1275" w:type="dxa"/>
          </w:tcPr>
          <w:p w14:paraId="417047FD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  <w:b/>
                <w:bCs/>
              </w:rPr>
              <w:t>66.1%</w:t>
            </w:r>
          </w:p>
        </w:tc>
        <w:tc>
          <w:tcPr>
            <w:tcW w:w="1418" w:type="dxa"/>
          </w:tcPr>
          <w:p w14:paraId="0B867DF8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  <w:b/>
                <w:bCs/>
              </w:rPr>
              <w:t>84.1%</w:t>
            </w:r>
          </w:p>
        </w:tc>
        <w:tc>
          <w:tcPr>
            <w:tcW w:w="1417" w:type="dxa"/>
          </w:tcPr>
          <w:p w14:paraId="419B4A64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11.0%</w:t>
            </w:r>
          </w:p>
        </w:tc>
        <w:tc>
          <w:tcPr>
            <w:tcW w:w="1418" w:type="dxa"/>
          </w:tcPr>
          <w:p w14:paraId="7D81BA1D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0.529</w:t>
            </w:r>
          </w:p>
        </w:tc>
        <w:tc>
          <w:tcPr>
            <w:tcW w:w="1246" w:type="dxa"/>
          </w:tcPr>
          <w:p w14:paraId="74CDD7ED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  <w:b/>
                <w:bCs/>
              </w:rPr>
              <w:t>0.789</w:t>
            </w:r>
          </w:p>
        </w:tc>
      </w:tr>
      <w:tr w:rsidR="00DC08A2" w:rsidRPr="008F5F52" w14:paraId="384F4E30" w14:textId="77777777" w:rsidTr="008F5F52">
        <w:tc>
          <w:tcPr>
            <w:tcW w:w="2802" w:type="dxa"/>
          </w:tcPr>
          <w:p w14:paraId="46C891C9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Gradient Boosting</w:t>
            </w:r>
          </w:p>
        </w:tc>
        <w:tc>
          <w:tcPr>
            <w:tcW w:w="1275" w:type="dxa"/>
          </w:tcPr>
          <w:p w14:paraId="178DB645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57.7%</w:t>
            </w:r>
          </w:p>
        </w:tc>
        <w:tc>
          <w:tcPr>
            <w:tcW w:w="1418" w:type="dxa"/>
          </w:tcPr>
          <w:p w14:paraId="32963E46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68.9%</w:t>
            </w:r>
          </w:p>
        </w:tc>
        <w:tc>
          <w:tcPr>
            <w:tcW w:w="1417" w:type="dxa"/>
          </w:tcPr>
          <w:p w14:paraId="48DFC8AA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23.2%</w:t>
            </w:r>
          </w:p>
        </w:tc>
        <w:tc>
          <w:tcPr>
            <w:tcW w:w="1418" w:type="dxa"/>
          </w:tcPr>
          <w:p w14:paraId="4C21F54D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0.530</w:t>
            </w:r>
          </w:p>
        </w:tc>
        <w:tc>
          <w:tcPr>
            <w:tcW w:w="1246" w:type="dxa"/>
          </w:tcPr>
          <w:p w14:paraId="4DCC791E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0.710</w:t>
            </w:r>
          </w:p>
        </w:tc>
      </w:tr>
      <w:tr w:rsidR="00DC08A2" w:rsidRPr="008F5F52" w14:paraId="574CEE73" w14:textId="77777777" w:rsidTr="008F5F52">
        <w:tc>
          <w:tcPr>
            <w:tcW w:w="2802" w:type="dxa"/>
          </w:tcPr>
          <w:p w14:paraId="55775C8E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Ensemble (Soft Voting)</w:t>
            </w:r>
          </w:p>
        </w:tc>
        <w:tc>
          <w:tcPr>
            <w:tcW w:w="1275" w:type="dxa"/>
          </w:tcPr>
          <w:p w14:paraId="5F269A9C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56.9%</w:t>
            </w:r>
          </w:p>
        </w:tc>
        <w:tc>
          <w:tcPr>
            <w:tcW w:w="1418" w:type="dxa"/>
          </w:tcPr>
          <w:p w14:paraId="67064982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69.5%</w:t>
            </w:r>
          </w:p>
        </w:tc>
        <w:tc>
          <w:tcPr>
            <w:tcW w:w="1417" w:type="dxa"/>
          </w:tcPr>
          <w:p w14:paraId="773EDD36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18.3%</w:t>
            </w:r>
          </w:p>
        </w:tc>
        <w:tc>
          <w:tcPr>
            <w:tcW w:w="1418" w:type="dxa"/>
          </w:tcPr>
          <w:p w14:paraId="41B94A6B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0.523</w:t>
            </w:r>
          </w:p>
        </w:tc>
        <w:tc>
          <w:tcPr>
            <w:tcW w:w="1246" w:type="dxa"/>
          </w:tcPr>
          <w:p w14:paraId="7C68B0A0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0.709</w:t>
            </w:r>
          </w:p>
        </w:tc>
      </w:tr>
      <w:tr w:rsidR="00DC08A2" w:rsidRPr="008F5F52" w14:paraId="7416F960" w14:textId="77777777" w:rsidTr="008F5F52">
        <w:tc>
          <w:tcPr>
            <w:tcW w:w="2802" w:type="dxa"/>
          </w:tcPr>
          <w:p w14:paraId="3D64833A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SVM (RBF Kernel)</w:t>
            </w:r>
          </w:p>
        </w:tc>
        <w:tc>
          <w:tcPr>
            <w:tcW w:w="1275" w:type="dxa"/>
          </w:tcPr>
          <w:p w14:paraId="540B0C8E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52.3%</w:t>
            </w:r>
          </w:p>
        </w:tc>
        <w:tc>
          <w:tcPr>
            <w:tcW w:w="1418" w:type="dxa"/>
          </w:tcPr>
          <w:p w14:paraId="46ED7E2D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54.6%</w:t>
            </w:r>
          </w:p>
        </w:tc>
        <w:tc>
          <w:tcPr>
            <w:tcW w:w="1417" w:type="dxa"/>
          </w:tcPr>
          <w:p w14:paraId="200E4EFA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  <w:b/>
                <w:bCs/>
              </w:rPr>
              <w:t>45.1%</w:t>
            </w:r>
          </w:p>
        </w:tc>
        <w:tc>
          <w:tcPr>
            <w:tcW w:w="1418" w:type="dxa"/>
          </w:tcPr>
          <w:p w14:paraId="5FF8A35C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0.487</w:t>
            </w:r>
          </w:p>
        </w:tc>
        <w:tc>
          <w:tcPr>
            <w:tcW w:w="1246" w:type="dxa"/>
          </w:tcPr>
          <w:p w14:paraId="609FF8C1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0.633</w:t>
            </w:r>
          </w:p>
        </w:tc>
      </w:tr>
      <w:tr w:rsidR="00DC08A2" w:rsidRPr="008F5F52" w14:paraId="4CB7E85A" w14:textId="77777777" w:rsidTr="008F5F52">
        <w:tc>
          <w:tcPr>
            <w:tcW w:w="2802" w:type="dxa"/>
          </w:tcPr>
          <w:p w14:paraId="3069BBFB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1275" w:type="dxa"/>
          </w:tcPr>
          <w:p w14:paraId="635D596F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51.4%</w:t>
            </w:r>
          </w:p>
        </w:tc>
        <w:tc>
          <w:tcPr>
            <w:tcW w:w="1418" w:type="dxa"/>
          </w:tcPr>
          <w:p w14:paraId="0F3CDB95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55.4%</w:t>
            </w:r>
          </w:p>
        </w:tc>
        <w:tc>
          <w:tcPr>
            <w:tcW w:w="1417" w:type="dxa"/>
          </w:tcPr>
          <w:p w14:paraId="2CC097F4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39.0%</w:t>
            </w:r>
          </w:p>
        </w:tc>
        <w:tc>
          <w:tcPr>
            <w:tcW w:w="1418" w:type="dxa"/>
          </w:tcPr>
          <w:p w14:paraId="739247A6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  <w:b/>
                <w:bCs/>
              </w:rPr>
              <w:t>0.536</w:t>
            </w:r>
          </w:p>
        </w:tc>
        <w:tc>
          <w:tcPr>
            <w:tcW w:w="1246" w:type="dxa"/>
          </w:tcPr>
          <w:p w14:paraId="4DD3AD9B" w14:textId="77777777" w:rsidR="00DC08A2" w:rsidRPr="008F5F52" w:rsidRDefault="00000000" w:rsidP="008F5F5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F5F52">
              <w:rPr>
                <w:rFonts w:ascii="Times New Roman" w:hAnsi="Times New Roman" w:cs="Times New Roman"/>
              </w:rPr>
              <w:t>0.632</w:t>
            </w:r>
          </w:p>
        </w:tc>
      </w:tr>
    </w:tbl>
    <w:p w14:paraId="4659A4C1" w14:textId="77777777" w:rsidR="00DC08A2" w:rsidRPr="008F5F52" w:rsidRDefault="00000000" w:rsidP="008F5F52">
      <w:pPr>
        <w:pStyle w:val="BodyText"/>
        <w:jc w:val="both"/>
        <w:rPr>
          <w:rFonts w:ascii="Times New Roman" w:hAnsi="Times New Roman" w:cs="Times New Roman"/>
        </w:rPr>
      </w:pPr>
      <w:r w:rsidRPr="008F5F52">
        <w:rPr>
          <w:rFonts w:ascii="Times New Roman" w:hAnsi="Times New Roman" w:cs="Times New Roman"/>
          <w:i/>
          <w:iCs/>
        </w:rPr>
        <w:t>Compared to v1 (50.4% accuracy, 51.3% sensitivity), XGBoost improved Tumor Sensitivity from 51.3% to 84.1%, and Accuracy from 50.4% to 66.1%.</w:t>
      </w:r>
    </w:p>
    <w:p w14:paraId="781254B4" w14:textId="77777777" w:rsidR="00DC08A2" w:rsidRPr="008F5F52" w:rsidRDefault="00000000" w:rsidP="008F5F52">
      <w:pPr>
        <w:pStyle w:val="Heading3"/>
        <w:jc w:val="both"/>
        <w:rPr>
          <w:rFonts w:ascii="Times New Roman" w:hAnsi="Times New Roman" w:cs="Times New Roman"/>
        </w:rPr>
      </w:pPr>
      <w:bookmarkStart w:id="6" w:name="discussion-of-results"/>
      <w:r w:rsidRPr="008F5F52">
        <w:rPr>
          <w:rFonts w:ascii="Times New Roman" w:hAnsi="Times New Roman" w:cs="Times New Roman"/>
        </w:rPr>
        <w:t>Discussion of Results</w:t>
      </w:r>
    </w:p>
    <w:p w14:paraId="7248805D" w14:textId="77777777" w:rsidR="00DC08A2" w:rsidRPr="008F5F52" w:rsidRDefault="00000000" w:rsidP="008F5F52">
      <w:pPr>
        <w:pStyle w:val="FirstParagraph"/>
        <w:jc w:val="both"/>
        <w:rPr>
          <w:rFonts w:ascii="Times New Roman" w:hAnsi="Times New Roman" w:cs="Times New Roman"/>
        </w:rPr>
      </w:pPr>
      <w:r w:rsidRPr="008F5F52">
        <w:rPr>
          <w:rFonts w:ascii="Times New Roman" w:hAnsi="Times New Roman" w:cs="Times New Roman"/>
          <w:b/>
          <w:bCs/>
        </w:rPr>
        <w:t>XGBoost (Best Model):</w:t>
      </w:r>
      <w:r w:rsidRPr="008F5F52">
        <w:rPr>
          <w:rFonts w:ascii="Times New Roman" w:hAnsi="Times New Roman" w:cs="Times New Roman"/>
        </w:rPr>
        <w:t xml:space="preserve"> Achieved the strongest Sensitivity at 84.1%, correctly identifying 790 of 940 True Tumor regions. This aggressive tree-splitting strategy captures non-linear ventilation gradients that simpler models miss. The low Specificity (11.0%) reflects the fundamental limitation of not yet having CT density data fused to each XV patch. Without a structural anchor, the algorithm over-flags novel functional patterns.</w:t>
      </w:r>
    </w:p>
    <w:p w14:paraId="62715D1B" w14:textId="77777777" w:rsidR="00DC08A2" w:rsidRPr="008F5F52" w:rsidRDefault="00000000" w:rsidP="008F5F52">
      <w:pPr>
        <w:pStyle w:val="BodyText"/>
        <w:jc w:val="both"/>
        <w:rPr>
          <w:rFonts w:ascii="Times New Roman" w:hAnsi="Times New Roman" w:cs="Times New Roman"/>
        </w:rPr>
      </w:pPr>
      <w:r w:rsidRPr="008F5F52">
        <w:rPr>
          <w:rFonts w:ascii="Times New Roman" w:hAnsi="Times New Roman" w:cs="Times New Roman"/>
          <w:b/>
          <w:bCs/>
        </w:rPr>
        <w:t>SVM (RBF):</w:t>
      </w:r>
      <w:r w:rsidRPr="008F5F52">
        <w:rPr>
          <w:rFonts w:ascii="Times New Roman" w:hAnsi="Times New Roman" w:cs="Times New Roman"/>
        </w:rPr>
        <w:t xml:space="preserve"> Exhibited the best Specificity (45.1%), successfully isolating healthy control-level ventilation patterns by its non-linear margin boundaries. In a screening-confirmation pipeline, SVM should follow XGBoost as a confirmation step.</w:t>
      </w:r>
    </w:p>
    <w:p w14:paraId="320DAF40" w14:textId="34EC631E" w:rsidR="00DC08A2" w:rsidRDefault="00000000" w:rsidP="008F5F52">
      <w:pPr>
        <w:pStyle w:val="BodyText"/>
        <w:jc w:val="both"/>
        <w:rPr>
          <w:rFonts w:ascii="Times New Roman" w:hAnsi="Times New Roman" w:cs="Times New Roman"/>
        </w:rPr>
      </w:pPr>
      <w:r w:rsidRPr="008F5F52">
        <w:rPr>
          <w:rFonts w:ascii="Times New Roman" w:hAnsi="Times New Roman" w:cs="Times New Roman"/>
          <w:b/>
          <w:bCs/>
        </w:rPr>
        <w:t>Ensemble (Soft Voting):</w:t>
      </w:r>
      <w:r w:rsidRPr="008F5F52">
        <w:rPr>
          <w:rFonts w:ascii="Times New Roman" w:hAnsi="Times New Roman" w:cs="Times New Roman"/>
        </w:rPr>
        <w:t xml:space="preserve"> Delivered a balanced trade-off between all 5 models. In production, a weighted ensemble prioritizing SVM (for Specificity) and XGBoost (for Sensitivity) would be the most clinically appropriate choice.</w:t>
      </w:r>
    </w:p>
    <w:p w14:paraId="3A7A8EC5" w14:textId="3E5A9EFD" w:rsidR="008F5F52" w:rsidRPr="008F5F52" w:rsidRDefault="008F5F52" w:rsidP="008F5F52">
      <w:pPr>
        <w:pStyle w:val="Heading2"/>
        <w:jc w:val="both"/>
        <w:rPr>
          <w:rFonts w:ascii="Times New Roman" w:hAnsi="Times New Roman" w:cs="Times New Roman"/>
        </w:rPr>
      </w:pPr>
      <w:r w:rsidRPr="008F5F52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4656" behindDoc="0" locked="0" layoutInCell="1" allowOverlap="1" wp14:anchorId="37339829" wp14:editId="4E663439">
            <wp:simplePos x="0" y="0"/>
            <wp:positionH relativeFrom="column">
              <wp:posOffset>330200</wp:posOffset>
            </wp:positionH>
            <wp:positionV relativeFrom="page">
              <wp:posOffset>5086350</wp:posOffset>
            </wp:positionV>
            <wp:extent cx="5765800" cy="3625850"/>
            <wp:effectExtent l="0" t="0" r="0" b="0"/>
            <wp:wrapTopAndBottom/>
            <wp:docPr id="16" name="Picture" descr="Confusion Matric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Postdoc_Fig_Advanced_CM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362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1E51">
        <w:rPr>
          <w:rFonts w:ascii="Times New Roman" w:hAnsi="Times New Roman" w:cs="Times New Roman"/>
        </w:rPr>
        <w:t>4</w:t>
      </w:r>
      <w:r w:rsidRPr="008F5F52">
        <w:rPr>
          <w:rFonts w:ascii="Times New Roman" w:hAnsi="Times New Roman" w:cs="Times New Roman"/>
        </w:rPr>
        <w:t>. Confusion Matrices</w:t>
      </w:r>
    </w:p>
    <w:p w14:paraId="6CE2238B" w14:textId="77777777" w:rsidR="008F5F52" w:rsidRPr="008F5F52" w:rsidRDefault="008F5F52" w:rsidP="008F5F52">
      <w:pPr>
        <w:pStyle w:val="BodyText"/>
        <w:jc w:val="both"/>
        <w:rPr>
          <w:rFonts w:ascii="Times New Roman" w:hAnsi="Times New Roman" w:cs="Times New Roman"/>
        </w:rPr>
      </w:pPr>
    </w:p>
    <w:p w14:paraId="5208E6F1" w14:textId="41AE7670" w:rsidR="00DC08A2" w:rsidRPr="008F5F52" w:rsidRDefault="00DC08A2" w:rsidP="008F5F52">
      <w:pPr>
        <w:jc w:val="both"/>
        <w:rPr>
          <w:rFonts w:ascii="Times New Roman" w:hAnsi="Times New Roman" w:cs="Times New Roman"/>
        </w:rPr>
      </w:pPr>
    </w:p>
    <w:p w14:paraId="5617D677" w14:textId="5680D0FE" w:rsidR="00DC08A2" w:rsidRPr="008F5F52" w:rsidRDefault="00000000" w:rsidP="008F5F52">
      <w:pPr>
        <w:pStyle w:val="FirstParagraph"/>
        <w:tabs>
          <w:tab w:val="left" w:pos="2694"/>
        </w:tabs>
        <w:jc w:val="both"/>
        <w:rPr>
          <w:rFonts w:ascii="Times New Roman" w:hAnsi="Times New Roman" w:cs="Times New Roman"/>
        </w:rPr>
      </w:pPr>
      <w:bookmarkStart w:id="7" w:name="confusion-matrices"/>
      <w:bookmarkEnd w:id="5"/>
      <w:bookmarkEnd w:id="6"/>
      <w:r w:rsidRPr="008F5F52">
        <w:rPr>
          <w:rFonts w:ascii="Times New Roman" w:hAnsi="Times New Roman" w:cs="Times New Roman"/>
          <w:b/>
          <w:bCs/>
        </w:rPr>
        <w:t>Figure 1: LOGOCV Confusion Matrices — All 5 Models</w:t>
      </w:r>
      <w:r w:rsidRPr="008F5F52">
        <w:rPr>
          <w:rFonts w:ascii="Times New Roman" w:hAnsi="Times New Roman" w:cs="Times New Roman"/>
        </w:rPr>
        <w:t xml:space="preserve">  </w:t>
      </w:r>
      <w:r w:rsidRPr="008F5F52">
        <w:rPr>
          <w:rFonts w:ascii="Times New Roman" w:hAnsi="Times New Roman" w:cs="Times New Roman"/>
          <w:i/>
          <w:iCs/>
        </w:rPr>
        <w:t>(Interpretation: Each heatmap cell shows the raw count of regions predicted for each class. The top-left cell is True Control (correctly predicted), and the bottom-right cell is True Tumor (correctly predicted). XGBoost (red, top-right) dominates True Tumor detection with the deepest blue/red fill, at the cost of almost all True Control regions being flagged as Tumor.)</w:t>
      </w:r>
    </w:p>
    <w:p w14:paraId="6B8B692C" w14:textId="124CED28" w:rsidR="00DC08A2" w:rsidRPr="008F5F52" w:rsidRDefault="00DC08A2" w:rsidP="008F5F52">
      <w:pPr>
        <w:jc w:val="both"/>
        <w:rPr>
          <w:rFonts w:ascii="Times New Roman" w:hAnsi="Times New Roman" w:cs="Times New Roman"/>
        </w:rPr>
      </w:pPr>
    </w:p>
    <w:p w14:paraId="5E4EA3EF" w14:textId="422AAA00" w:rsidR="00DC08A2" w:rsidRPr="008F5F52" w:rsidRDefault="005B2A1F" w:rsidP="008F5F52">
      <w:pPr>
        <w:pStyle w:val="Heading2"/>
        <w:jc w:val="both"/>
        <w:rPr>
          <w:rFonts w:ascii="Times New Roman" w:hAnsi="Times New Roman" w:cs="Times New Roman"/>
        </w:rPr>
      </w:pPr>
      <w:bookmarkStart w:id="8" w:name="model-performance-comparison"/>
      <w:bookmarkEnd w:id="7"/>
      <w:r w:rsidRPr="008F5F5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992" behindDoc="0" locked="0" layoutInCell="1" allowOverlap="1" wp14:anchorId="02971846" wp14:editId="0318183B">
            <wp:simplePos x="0" y="0"/>
            <wp:positionH relativeFrom="column">
              <wp:posOffset>0</wp:posOffset>
            </wp:positionH>
            <wp:positionV relativeFrom="paragraph">
              <wp:posOffset>455930</wp:posOffset>
            </wp:positionV>
            <wp:extent cx="5943600" cy="2641600"/>
            <wp:effectExtent l="0" t="0" r="0" b="0"/>
            <wp:wrapTopAndBottom/>
            <wp:docPr id="20" name="Picture" descr="Performance Comparis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Postdoc_Fig_Advanced_Perf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1E51">
        <w:rPr>
          <w:rFonts w:ascii="Times New Roman" w:hAnsi="Times New Roman" w:cs="Times New Roman"/>
        </w:rPr>
        <w:t>5</w:t>
      </w:r>
      <w:r w:rsidR="00000000" w:rsidRPr="008F5F52">
        <w:rPr>
          <w:rFonts w:ascii="Times New Roman" w:hAnsi="Times New Roman" w:cs="Times New Roman"/>
        </w:rPr>
        <w:t>. Model Performance Comparison</w:t>
      </w:r>
    </w:p>
    <w:p w14:paraId="09F3F7D8" w14:textId="27EB3D62" w:rsidR="00DC08A2" w:rsidRDefault="00000000" w:rsidP="008F5F52">
      <w:pPr>
        <w:pStyle w:val="FirstParagraph"/>
        <w:spacing w:after="240"/>
        <w:jc w:val="both"/>
        <w:rPr>
          <w:rFonts w:ascii="Times New Roman" w:hAnsi="Times New Roman" w:cs="Times New Roman"/>
          <w:i/>
          <w:iCs/>
        </w:rPr>
      </w:pPr>
      <w:r w:rsidRPr="008F5F52">
        <w:rPr>
          <w:rFonts w:ascii="Times New Roman" w:hAnsi="Times New Roman" w:cs="Times New Roman"/>
          <w:b/>
          <w:bCs/>
        </w:rPr>
        <w:t>Figure 2: Grouped Bar Chart — Accuracy, Sensitivity, Specificity, AUC, F1</w:t>
      </w:r>
      <w:r w:rsidRPr="008F5F52">
        <w:rPr>
          <w:rFonts w:ascii="Times New Roman" w:hAnsi="Times New Roman" w:cs="Times New Roman"/>
        </w:rPr>
        <w:t xml:space="preserve">  </w:t>
      </w:r>
      <w:r w:rsidRPr="008F5F52">
        <w:rPr>
          <w:rFonts w:ascii="Times New Roman" w:hAnsi="Times New Roman" w:cs="Times New Roman"/>
          <w:i/>
          <w:iCs/>
        </w:rPr>
        <w:t xml:space="preserve">(Interpretation: The orange bars (Sensitivity) clearly show XGBoost dominance. The green bars (Specificity) </w:t>
      </w:r>
      <w:r w:rsidRPr="008F5F52">
        <w:rPr>
          <w:rFonts w:ascii="Times New Roman" w:hAnsi="Times New Roman" w:cs="Times New Roman"/>
          <w:i/>
          <w:iCs/>
        </w:rPr>
        <w:lastRenderedPageBreak/>
        <w:t>reveal that SVM uniquely maintains a balance. The ensemble bar (rightmost group) smooths across the extremes, representing the optimal clinical compromise.)</w:t>
      </w:r>
    </w:p>
    <w:p w14:paraId="1E2DDE70" w14:textId="2ACAD91E" w:rsidR="008F5F52" w:rsidRPr="008F5F52" w:rsidRDefault="008F5F52" w:rsidP="008F5F52">
      <w:pPr>
        <w:pStyle w:val="BodyText"/>
      </w:pPr>
    </w:p>
    <w:p w14:paraId="46EC4EDC" w14:textId="21992710" w:rsidR="008F5F52" w:rsidRPr="008F5F52" w:rsidRDefault="000C1E51" w:rsidP="008F5F52">
      <w:pPr>
        <w:pStyle w:val="Heading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="008F5F52" w:rsidRPr="008F5F52">
        <w:rPr>
          <w:rFonts w:ascii="Times New Roman" w:hAnsi="Times New Roman" w:cs="Times New Roman"/>
        </w:rPr>
        <w:t>. Regional Feature Importance</w:t>
      </w:r>
    </w:p>
    <w:p w14:paraId="6F77E226" w14:textId="42F80B45" w:rsidR="00DC08A2" w:rsidRPr="008F5F52" w:rsidRDefault="008F5F52" w:rsidP="008F5F52">
      <w:pPr>
        <w:jc w:val="both"/>
        <w:rPr>
          <w:rFonts w:ascii="Times New Roman" w:hAnsi="Times New Roman" w:cs="Times New Roman"/>
        </w:rPr>
      </w:pPr>
      <w:r w:rsidRPr="008F5F5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2304" behindDoc="0" locked="0" layoutInCell="1" allowOverlap="1" wp14:anchorId="4C43C1E4" wp14:editId="42604A88">
            <wp:simplePos x="0" y="0"/>
            <wp:positionH relativeFrom="column">
              <wp:posOffset>101600</wp:posOffset>
            </wp:positionH>
            <wp:positionV relativeFrom="paragraph">
              <wp:posOffset>311150</wp:posOffset>
            </wp:positionV>
            <wp:extent cx="5867400" cy="2806700"/>
            <wp:effectExtent l="0" t="0" r="0" b="0"/>
            <wp:wrapTopAndBottom/>
            <wp:docPr id="24" name="Picture" descr="Feature Importa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Postdoc_Fig_Advanced_FI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80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983003" w14:textId="716C0BE0" w:rsidR="00DC08A2" w:rsidRPr="008F5F52" w:rsidRDefault="00000000" w:rsidP="008F5F52">
      <w:pPr>
        <w:pStyle w:val="FirstParagraph"/>
        <w:jc w:val="both"/>
        <w:rPr>
          <w:rFonts w:ascii="Times New Roman" w:hAnsi="Times New Roman" w:cs="Times New Roman"/>
        </w:rPr>
      </w:pPr>
      <w:bookmarkStart w:id="9" w:name="regional-feature-importance"/>
      <w:bookmarkEnd w:id="8"/>
      <w:r w:rsidRPr="008F5F52">
        <w:rPr>
          <w:rFonts w:ascii="Times New Roman" w:hAnsi="Times New Roman" w:cs="Times New Roman"/>
          <w:b/>
          <w:bCs/>
        </w:rPr>
        <w:t>Figure 3: Algorithm Feature Weighting (Averaged over 8 LOGOCV Folds)</w:t>
      </w:r>
      <w:r w:rsidRPr="008F5F52">
        <w:rPr>
          <w:rFonts w:ascii="Times New Roman" w:hAnsi="Times New Roman" w:cs="Times New Roman"/>
        </w:rPr>
        <w:t xml:space="preserve">  </w:t>
      </w:r>
      <w:r w:rsidRPr="008F5F52">
        <w:rPr>
          <w:rFonts w:ascii="Times New Roman" w:hAnsi="Times New Roman" w:cs="Times New Roman"/>
          <w:i/>
          <w:iCs/>
        </w:rPr>
        <w:t xml:space="preserve">(Interpretation: Both Random Forest and XGBoost converge on </w:t>
      </w:r>
      <w:r w:rsidRPr="008F5F52">
        <w:rPr>
          <w:rStyle w:val="VerbatimChar"/>
          <w:rFonts w:ascii="Times New Roman" w:hAnsi="Times New Roman" w:cs="Times New Roman"/>
          <w:i/>
          <w:iCs/>
        </w:rPr>
        <w:t>SV_Mean</w:t>
      </w:r>
      <w:r w:rsidRPr="008F5F52">
        <w:rPr>
          <w:rFonts w:ascii="Times New Roman" w:hAnsi="Times New Roman" w:cs="Times New Roman"/>
          <w:i/>
          <w:iCs/>
        </w:rPr>
        <w:t xml:space="preserve">, </w:t>
      </w:r>
      <w:r w:rsidRPr="008F5F52">
        <w:rPr>
          <w:rStyle w:val="VerbatimChar"/>
          <w:rFonts w:ascii="Times New Roman" w:hAnsi="Times New Roman" w:cs="Times New Roman"/>
          <w:i/>
          <w:iCs/>
        </w:rPr>
        <w:t>SV_p10</w:t>
      </w:r>
      <w:r w:rsidRPr="008F5F52">
        <w:rPr>
          <w:rFonts w:ascii="Times New Roman" w:hAnsi="Times New Roman" w:cs="Times New Roman"/>
          <w:i/>
          <w:iCs/>
        </w:rPr>
        <w:t xml:space="preserve">, and </w:t>
      </w:r>
      <w:r w:rsidRPr="008F5F52">
        <w:rPr>
          <w:rStyle w:val="VerbatimChar"/>
          <w:rFonts w:ascii="Times New Roman" w:hAnsi="Times New Roman" w:cs="Times New Roman"/>
          <w:i/>
          <w:iCs/>
        </w:rPr>
        <w:t>SV_Skewness</w:t>
      </w:r>
      <w:r w:rsidRPr="008F5F52">
        <w:rPr>
          <w:rFonts w:ascii="Times New Roman" w:hAnsi="Times New Roman" w:cs="Times New Roman"/>
          <w:i/>
          <w:iCs/>
        </w:rPr>
        <w:t xml:space="preserve"> as the most informative diagnostic features. The strong weighting of </w:t>
      </w:r>
      <w:r w:rsidRPr="008F5F52">
        <w:rPr>
          <w:rStyle w:val="VerbatimChar"/>
          <w:rFonts w:ascii="Times New Roman" w:hAnsi="Times New Roman" w:cs="Times New Roman"/>
          <w:i/>
          <w:iCs/>
        </w:rPr>
        <w:t>SV_p10</w:t>
      </w:r>
      <w:r w:rsidRPr="008F5F52">
        <w:rPr>
          <w:rFonts w:ascii="Times New Roman" w:hAnsi="Times New Roman" w:cs="Times New Roman"/>
          <w:i/>
          <w:iCs/>
        </w:rPr>
        <w:t xml:space="preserve"> (the lowest 10th percentile of a region) confirms that focal sub-regional defects drive tumor classification — matching exactly the biological mechanism described in Harker et al.’s XV ventilation defect methodology.)</w:t>
      </w:r>
    </w:p>
    <w:p w14:paraId="0476D596" w14:textId="23E2DA47" w:rsidR="00DC08A2" w:rsidRPr="008F5F52" w:rsidRDefault="00DC08A2" w:rsidP="008F5F52">
      <w:pPr>
        <w:jc w:val="both"/>
        <w:rPr>
          <w:rFonts w:ascii="Times New Roman" w:hAnsi="Times New Roman" w:cs="Times New Roman"/>
        </w:rPr>
      </w:pPr>
    </w:p>
    <w:p w14:paraId="5DEC7D95" w14:textId="3AE70A73" w:rsidR="00DC08A2" w:rsidRPr="008F5F52" w:rsidRDefault="000C1E51" w:rsidP="008F5F52">
      <w:pPr>
        <w:pStyle w:val="Heading2"/>
        <w:jc w:val="both"/>
        <w:rPr>
          <w:rFonts w:ascii="Times New Roman" w:hAnsi="Times New Roman" w:cs="Times New Roman"/>
        </w:rPr>
      </w:pPr>
      <w:bookmarkStart w:id="10" w:name="X900a388b83f91472bb2f4ac097244775fb8f3d3"/>
      <w:bookmarkEnd w:id="9"/>
      <w:r>
        <w:rPr>
          <w:rFonts w:ascii="Times New Roman" w:hAnsi="Times New Roman" w:cs="Times New Roman"/>
        </w:rPr>
        <w:t>7</w:t>
      </w:r>
      <w:r w:rsidR="00000000" w:rsidRPr="008F5F52">
        <w:rPr>
          <w:rFonts w:ascii="Times New Roman" w:hAnsi="Times New Roman" w:cs="Times New Roman"/>
        </w:rPr>
        <w:t>. Why Specificity Remains Low</w:t>
      </w:r>
    </w:p>
    <w:p w14:paraId="549AAFC5" w14:textId="77777777" w:rsidR="00DC08A2" w:rsidRPr="008F5F52" w:rsidRDefault="00000000" w:rsidP="008F5F52">
      <w:pPr>
        <w:pStyle w:val="FirstParagraph"/>
        <w:jc w:val="both"/>
        <w:rPr>
          <w:rFonts w:ascii="Times New Roman" w:hAnsi="Times New Roman" w:cs="Times New Roman"/>
        </w:rPr>
      </w:pPr>
      <w:r w:rsidRPr="008F5F52">
        <w:rPr>
          <w:rFonts w:ascii="Times New Roman" w:hAnsi="Times New Roman" w:cs="Times New Roman"/>
        </w:rPr>
        <w:t>Despite improvements, Specificity remains low across all models (7–45%). This is expected and explainable:</w:t>
      </w:r>
    </w:p>
    <w:p w14:paraId="4D55EEF5" w14:textId="77777777" w:rsidR="00DC08A2" w:rsidRPr="008F5F52" w:rsidRDefault="00000000" w:rsidP="008F5F52">
      <w:pPr>
        <w:pStyle w:val="BodyText"/>
        <w:jc w:val="both"/>
        <w:rPr>
          <w:rFonts w:ascii="Times New Roman" w:hAnsi="Times New Roman" w:cs="Times New Roman"/>
        </w:rPr>
      </w:pPr>
      <w:r w:rsidRPr="008F5F52">
        <w:rPr>
          <w:rFonts w:ascii="Times New Roman" w:hAnsi="Times New Roman" w:cs="Times New Roman"/>
        </w:rPr>
        <w:t>The raw XV point clouds contain only functional ventilation data (SV values at XYZ coordinates), with no structural information. The 2 Control mice naturally exhibit biological ventilation variability that overlaps with some Tumor mice’s milder SV patterns. Without a way to distinguish whether a low-SV patch is due to anatomical curvature vs. a tumor mass, the models tend to flag uncertainty conservatively toward “Tumor.”</w:t>
      </w:r>
    </w:p>
    <w:p w14:paraId="74BD1766" w14:textId="144CB799" w:rsidR="00DC08A2" w:rsidRPr="008F5F52" w:rsidRDefault="00000000" w:rsidP="008F5F52">
      <w:pPr>
        <w:pStyle w:val="BodyText"/>
        <w:jc w:val="both"/>
        <w:rPr>
          <w:rFonts w:ascii="Times New Roman" w:hAnsi="Times New Roman" w:cs="Times New Roman"/>
        </w:rPr>
      </w:pPr>
      <w:r w:rsidRPr="008F5F52">
        <w:rPr>
          <w:rFonts w:ascii="Times New Roman" w:hAnsi="Times New Roman" w:cs="Times New Roman"/>
        </w:rPr>
        <w:t>The definitive solution: Fuse the DICOM CT structural data (Hounsfield Unit density maps) to each XV patch at matching voxel coordinates. - This multimodal fusion will allow the AI to simultaneously “see” that a low-SV patch exists AND verify whether there is a dense tumor mass co-localized at that coordinate—instantly separating anatomical variation from disease.</w:t>
      </w:r>
      <w:bookmarkEnd w:id="0"/>
      <w:bookmarkEnd w:id="10"/>
    </w:p>
    <w:sectPr w:rsidR="00DC08A2" w:rsidRPr="008F5F5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9B26E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72FCB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61801710">
    <w:abstractNumId w:val="0"/>
  </w:num>
  <w:num w:numId="2" w16cid:durableId="20873410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482040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08A2"/>
    <w:rsid w:val="000C1E51"/>
    <w:rsid w:val="00124D53"/>
    <w:rsid w:val="002F64C0"/>
    <w:rsid w:val="0034275D"/>
    <w:rsid w:val="005B2A1F"/>
    <w:rsid w:val="008F5F52"/>
    <w:rsid w:val="00DC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79944"/>
  <w15:docId w15:val="{983B23B2-8779-4903-BB45-F2AB4C44F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833</Words>
  <Characters>4752</Characters>
  <Application>Microsoft Office Word</Application>
  <DocSecurity>0</DocSecurity>
  <Lines>39</Lines>
  <Paragraphs>11</Paragraphs>
  <ScaleCrop>false</ScaleCrop>
  <Company/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Ahasan Kabir</cp:lastModifiedBy>
  <cp:revision>11</cp:revision>
  <dcterms:created xsi:type="dcterms:W3CDTF">2026-03-22T16:39:00Z</dcterms:created>
  <dcterms:modified xsi:type="dcterms:W3CDTF">2026-03-22T16:52:00Z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38bbabdd-67bf-492c-9838-28229f26e835</vt:lpwstr>
  </property>
</Properties>
</file>