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установка-утилит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утилит.</w:t>
      </w:r>
    </w:p>
    <w:p>
      <w:pPr>
        <w:pStyle w:val="FirstParagraph"/>
      </w:pPr>
      <w:r>
        <w:t xml:space="preserve">Скачал TexLive с офицального сайта, распаковал архив и установил при помощи скриптф install-tl-* с правами root, используя sudo в начале команды.</w:t>
      </w:r>
    </w:p>
    <w:p>
      <w:pPr>
        <w:pStyle w:val="CaptionedFigure"/>
      </w:pPr>
      <w:bookmarkStart w:id="26" w:name="fig:001"/>
      <w:r>
        <w:drawing>
          <wp:inline>
            <wp:extent cx="5240510" cy="922084"/>
            <wp:effectExtent b="0" l="0" r="0" t="0"/>
            <wp:docPr descr="Рис. 1: установка TexLiv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TexLive</w:t>
      </w:r>
    </w:p>
    <w:p>
      <w:pPr>
        <w:pStyle w:val="BodyText"/>
      </w:pPr>
      <w:r>
        <w:t xml:space="preserve">Скачиваю архив pandoc версии 2.18.</w:t>
      </w:r>
    </w:p>
    <w:p>
      <w:pPr>
        <w:pStyle w:val="CaptionedFigure"/>
      </w:pPr>
      <w:bookmarkStart w:id="30" w:name="fig:002"/>
      <w:r>
        <w:drawing>
          <wp:inline>
            <wp:extent cx="4894729" cy="583986"/>
            <wp:effectExtent b="0" l="0" r="0" t="0"/>
            <wp:docPr descr="Рис. 2: загрузка pandoc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загрузка pandoc</w:t>
      </w:r>
    </w:p>
    <w:p>
      <w:pPr>
        <w:pStyle w:val="BodyText"/>
      </w:pPr>
      <w:r>
        <w:t xml:space="preserve">Cкачиваю crossref</w:t>
      </w:r>
    </w:p>
    <w:p>
      <w:pPr>
        <w:pStyle w:val="CaptionedFigure"/>
      </w:pPr>
      <w:bookmarkStart w:id="34" w:name="fig:003"/>
      <w:r>
        <w:drawing>
          <wp:inline>
            <wp:extent cx="4825573" cy="783771"/>
            <wp:effectExtent b="0" l="0" r="0" t="0"/>
            <wp:docPr descr="Рис. 3: загрузка crossref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загрузка crossref</w:t>
      </w:r>
    </w:p>
    <w:p>
      <w:pPr>
        <w:pStyle w:val="BodyText"/>
      </w:pPr>
      <w:r>
        <w:t xml:space="preserve">Распаковываю скачанные архивы, копирую файлы pandoc и pandoc-crossref в каталог /usr/local/bin/ с правами пользователя root с помощью sudo, проверяю корректность выполненных действий.</w:t>
      </w:r>
    </w:p>
    <w:p>
      <w:pPr>
        <w:pStyle w:val="CaptionedFigure"/>
      </w:pPr>
      <w:bookmarkStart w:id="38" w:name="fig:004"/>
      <w:r>
        <w:drawing>
          <wp:inline>
            <wp:extent cx="3865068" cy="1214077"/>
            <wp:effectExtent b="0" l="0" r="0" t="0"/>
            <wp:docPr descr="Рис. 4: завершение установ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завершение установки</w:t>
      </w:r>
    </w:p>
    <w:bookmarkEnd w:id="39"/>
    <w:bookmarkStart w:id="64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работы, обновляю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bookmarkStart w:id="43" w:name="fig:005"/>
      <w:r>
        <w:drawing>
          <wp:inline>
            <wp:extent cx="3004457" cy="322729"/>
            <wp:effectExtent b="0" l="0" r="0" t="0"/>
            <wp:docPr descr="Рис. 5: обновле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обновление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 3, провожу компиляцию шаблона с использованием Makefile. Для этого ввожу команду make</w:t>
      </w:r>
    </w:p>
    <w:p>
      <w:pPr>
        <w:pStyle w:val="CaptionedFigure"/>
      </w:pPr>
      <w:bookmarkStart w:id="47" w:name="fig:006"/>
      <w:r>
        <w:drawing>
          <wp:inline>
            <wp:extent cx="5334000" cy="797820"/>
            <wp:effectExtent b="0" l="0" r="0" t="0"/>
            <wp:docPr descr="Рис. 6: использование команды make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использование команды make</w:t>
      </w:r>
    </w:p>
    <w:p>
      <w:pPr>
        <w:pStyle w:val="BodyText"/>
      </w:pPr>
      <w:r>
        <w:t xml:space="preserve">Открываю сгенерированный файл report.docx LibreOffice.</w:t>
      </w:r>
    </w:p>
    <w:p>
      <w:pPr>
        <w:pStyle w:val="CaptionedFigure"/>
      </w:pPr>
      <w:bookmarkStart w:id="51" w:name="fig:007"/>
      <w:r>
        <w:drawing>
          <wp:inline>
            <wp:extent cx="5334000" cy="3183860"/>
            <wp:effectExtent b="0" l="0" r="0" t="0"/>
            <wp:docPr descr="Рис. 7: открытие файла docx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открытие файла docx</w:t>
      </w:r>
    </w:p>
    <w:p>
      <w:pPr>
        <w:pStyle w:val="BodyText"/>
      </w:pPr>
      <w:r>
        <w:t xml:space="preserve">Открываю сгенерированный файл report.pdf, убедился, что все правильно сгенерировалось.</w:t>
      </w:r>
    </w:p>
    <w:p>
      <w:pPr>
        <w:pStyle w:val="CaptionedFigure"/>
      </w:pPr>
      <w:bookmarkStart w:id="55" w:name="fig:008"/>
      <w:r>
        <w:drawing>
          <wp:inline>
            <wp:extent cx="5334000" cy="3559877"/>
            <wp:effectExtent b="0" l="0" r="0" t="0"/>
            <wp:docPr descr="Рис. 8: открытие pdf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открытие pdf файла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</w:t>
      </w:r>
    </w:p>
    <w:p>
      <w:pPr>
        <w:pStyle w:val="CaptionedFigure"/>
      </w:pPr>
      <w:bookmarkStart w:id="59" w:name="fig:009"/>
      <w:r>
        <w:drawing>
          <wp:inline>
            <wp:extent cx="4072537" cy="1045028"/>
            <wp:effectExtent b="0" l="0" r="0" t="0"/>
            <wp:docPr descr="Рис. 9: удаление файлов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удаление файлов</w:t>
      </w:r>
    </w:p>
    <w:p>
      <w:pPr>
        <w:pStyle w:val="BodyText"/>
      </w:pPr>
      <w:r>
        <w:t xml:space="preserve">Открываю файл report.md</w:t>
      </w:r>
    </w:p>
    <w:p>
      <w:pPr>
        <w:pStyle w:val="CaptionedFigure"/>
      </w:pPr>
      <w:bookmarkStart w:id="63" w:name="fig:010"/>
      <w:r>
        <w:drawing>
          <wp:inline>
            <wp:extent cx="5334000" cy="2790835"/>
            <wp:effectExtent b="0" l="0" r="0" t="0"/>
            <wp:docPr descr="Рис. 10: открытие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открытие файла</w:t>
      </w:r>
    </w:p>
    <w:bookmarkEnd w:id="64"/>
    <w:bookmarkStart w:id="73" w:name="заполнение-отче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отчета</w:t>
      </w:r>
    </w:p>
    <w:p>
      <w:pPr>
        <w:pStyle w:val="FirstParagraph"/>
      </w:pPr>
      <w:r>
        <w:t xml:space="preserve">Начинаю заполнять отчет с помощью языка разметки Markdown в скопированном файле</w:t>
      </w:r>
    </w:p>
    <w:p>
      <w:pPr>
        <w:pStyle w:val="CaptionedFigure"/>
      </w:pPr>
      <w:bookmarkStart w:id="68" w:name="fig:011"/>
      <w:r>
        <w:drawing>
          <wp:inline>
            <wp:extent cx="5334000" cy="2747456"/>
            <wp:effectExtent b="0" l="0" r="0" t="0"/>
            <wp:docPr descr="Рис. 11: заполнение отчета md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заполнение отчета md</w:t>
      </w:r>
    </w:p>
    <w:p>
      <w:pPr>
        <w:pStyle w:val="BodyText"/>
      </w:pPr>
      <w:r>
        <w:t xml:space="preserve">Компилирую файл с отчетом. Загружаю отчет на GitHub</w:t>
      </w:r>
    </w:p>
    <w:p>
      <w:pPr>
        <w:pStyle w:val="CaptionedFigure"/>
      </w:pPr>
      <w:bookmarkStart w:id="72" w:name="fig:012"/>
      <w:r>
        <w:drawing>
          <wp:inline>
            <wp:extent cx="4971569" cy="2289842"/>
            <wp:effectExtent b="0" l="0" r="0" t="0"/>
            <wp:docPr descr="Рис. 12: выгрузка файлов на github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выгрузка файлов на github</w:t>
      </w:r>
    </w:p>
    <w:bookmarkEnd w:id="73"/>
    <w:bookmarkEnd w:id="74"/>
    <w:bookmarkStart w:id="87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отчет, копирую файл report.md с новым именем для заполненния отчета</w:t>
      </w:r>
    </w:p>
    <w:p>
      <w:pPr>
        <w:pStyle w:val="CaptionedFigure"/>
      </w:pPr>
      <w:bookmarkStart w:id="78" w:name="fig:013"/>
      <w:r>
        <w:drawing>
          <wp:inline>
            <wp:extent cx="4956201" cy="960504"/>
            <wp:effectExtent b="0" l="0" r="0" t="0"/>
            <wp:docPr descr="Рис. 13: коп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Заполняю отчет по лабораторной работе №2 при помощи языка разметки Markdown</w:t>
      </w:r>
    </w:p>
    <w:p>
      <w:pPr>
        <w:pStyle w:val="CaptionedFigure"/>
      </w:pPr>
      <w:bookmarkStart w:id="82" w:name="fig:014"/>
      <w:r>
        <w:drawing>
          <wp:inline>
            <wp:extent cx="5334000" cy="4215580"/>
            <wp:effectExtent b="0" l="0" r="0" t="0"/>
            <wp:docPr descr="Рис. 14: заполнение отчет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заполнение отчет</w:t>
      </w:r>
    </w:p>
    <w:p>
      <w:pPr>
        <w:pStyle w:val="BodyText"/>
      </w:pPr>
      <w:r>
        <w:t xml:space="preserve">компилирую файл с отчетом по лабораторной работе,проверяю наличие файлов</w:t>
      </w:r>
    </w:p>
    <w:p>
      <w:pPr>
        <w:pStyle w:val="CaptionedFigure"/>
      </w:pPr>
      <w:bookmarkStart w:id="86" w:name="fig:015"/>
      <w:r>
        <w:drawing>
          <wp:inline>
            <wp:extent cx="5334000" cy="2713789"/>
            <wp:effectExtent b="0" l="0" r="0" t="0"/>
            <wp:docPr descr="Рис. 15: проверка созданных файлов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проверка созданных файлов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88"/>
    <w:bookmarkStart w:id="89" w:name="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2"/>
        </w:numPr>
        <w:pStyle w:val="Compact"/>
      </w:pPr>
      <w:r>
        <w:t xml:space="preserve">Markdown — это язык разметки, который позволяет форматировать текст с помощью специальных символов и синтаксиса. Он был разработан для упрощения процесса создания и редактирования текстовых документов.</w:t>
      </w:r>
    </w:p>
    <w:p>
      <w:pPr>
        <w:numPr>
          <w:ilvl w:val="0"/>
          <w:numId w:val="1002"/>
        </w:numPr>
        <w:pStyle w:val="Compact"/>
      </w:pPr>
      <w:r>
        <w:t xml:space="preserve">Курсив — используется символ «*» перед и после текста, который нужно выделить курсивом. Например: «Этот текст будет выделен курсивом».</w:t>
      </w:r>
      <w:r>
        <w:t xml:space="preserve"> </w:t>
      </w:r>
      <w:r>
        <w:t xml:space="preserve">Жирный шрифт — применяется символ «**» до и после фрагмента текста, который необходимо выделить жирным. Пример: «Этот текст станет жирным».</w:t>
      </w:r>
      <w:r>
        <w:t xml:space="preserve"> </w:t>
      </w:r>
      <w:r>
        <w:t xml:space="preserve">Зачёркнутый текст — обозначается символом «~» перед текстом, который требуется зачеркнуть. Например: ~этот текст будет зачёркнут~.</w:t>
      </w:r>
      <w:r>
        <w:t xml:space="preserve"> </w:t>
      </w:r>
      <w:r>
        <w:t xml:space="preserve">Моноширинный шрифт (для кода) — выделяется с помощью трёх обратных кавычек (`````) до и после блока кода или текста, который должен отображаться моноширинным шрифтом.</w:t>
      </w:r>
      <w:r>
        <w:t xml:space="preserve"> </w:t>
      </w:r>
      <w:r>
        <w:t xml:space="preserve">Цитата — оформляется с использованием символа «&gt;» в начале строки. Например: &gt; Это цитата.</w:t>
      </w:r>
    </w:p>
    <w:p>
      <w:pPr>
        <w:numPr>
          <w:ilvl w:val="0"/>
          <w:numId w:val="1002"/>
        </w:numPr>
        <w:pStyle w:val="Compact"/>
      </w:pPr>
      <w:r>
        <w:t xml:space="preserve">В Markdown для оформления списков используются отступы и символы дефиса или звездочки.</w:t>
      </w:r>
      <w:r>
        <w:t xml:space="preserve"> </w:t>
      </w:r>
      <w:r>
        <w:t xml:space="preserve">Маркированный список оформляется с помощью символа дефиса</w:t>
      </w:r>
      <w:r>
        <w:t xml:space="preserve"> </w:t>
      </w:r>
      <w:r>
        <w:t xml:space="preserve">Нумерованный список создается с использованием символа цифры со знаком пробела</w:t>
      </w:r>
      <w:r>
        <w:t xml:space="preserve"> </w:t>
      </w:r>
      <w:r>
        <w:t xml:space="preserve">Списки со смешанной структурой оформляются с применением обоих символов</w:t>
      </w:r>
      <w:r>
        <w:t xml:space="preserve"> </w:t>
      </w:r>
      <w:r>
        <w:t xml:space="preserve">Каждый элемент списка начинается с новой строки и имеет дополнительный отступ по сравнению с предыдущим уровнем списка.</w:t>
      </w:r>
    </w:p>
    <w:p>
      <w:pPr>
        <w:numPr>
          <w:ilvl w:val="0"/>
          <w:numId w:val="1002"/>
        </w:numPr>
        <w:pStyle w:val="Compact"/>
      </w:pPr>
      <w:r>
        <w:t xml:space="preserve">Для добавления изображений в Markdown используется синтаксис:!</w:t>
      </w:r>
      <w:r>
        <w:t xml:space="preserve"> </w:t>
      </w:r>
      <w:r>
        <w:t xml:space="preserve">Где ! — специальный символ, который указывает на то, что далее идёт изображение, а после него идёт ссылка на файл изображения.</w:t>
      </w:r>
      <w:r>
        <w:t xml:space="preserve"> </w:t>
      </w:r>
      <w:r>
        <w:t xml:space="preserve">Если изображение находится в том же каталоге, где и Markdown-файл, то можно указать только имя файла без пути:</w:t>
      </w:r>
    </w:p>
    <w:p>
      <w:pPr>
        <w:numPr>
          <w:ilvl w:val="0"/>
          <w:numId w:val="1002"/>
        </w:numPr>
        <w:pStyle w:val="Compact"/>
      </w:pPr>
      <w:r>
        <w:t xml:space="preserve">Для написания математических формул в Markdown используется синтаксис LaTeX. Вот несколько примеров: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формула энергии Эйнштейна;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— определённый интеграл функции f от a до b;</w:t>
      </w:r>
      <w:r>
        <w:t xml:space="preserve"> 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— формула, включающая комплексные числа.</w:t>
      </w:r>
      <w:r>
        <w:t xml:space="preserve"> </w:t>
      </w:r>
      <w:r>
        <w:t xml:space="preserve">Для того чтобы преобразовать формулу в вид, который можно отобразить на веб-странице, необходимо использовать онлайн-редакторы или расширения для текстовых редакторов, которые поддерживают Markdown и имеют функцию преобразования формул.</w:t>
      </w:r>
      <w:r>
        <w:t xml:space="preserve"> </w:t>
      </w:r>
      <w:r>
        <w:t xml:space="preserve">Чтобы создать ссылку на формулу, используйте следующий синтаксис:</w:t>
      </w:r>
      <w:r>
        <w:t xml:space="preserve"> </w:t>
      </w:r>
      <w:r>
        <w:t xml:space="preserve">[Текст ссылки][1]</w:t>
      </w:r>
      <w:r>
        <w:t xml:space="preserve"> </w:t>
      </w:r>
      <w:r>
        <w:t xml:space="preserve">1: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, где «Текст ссылки» — это текст, который будет отображаться при клике на ссылку, а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сама формула.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Ахатов Эмиль Эрнстович</dc:creator>
  <dc:language>ru-RU</dc:language>
  <cp:keywords/>
  <dcterms:created xsi:type="dcterms:W3CDTF">2024-10-08T22:08:48Z</dcterms:created>
  <dcterms:modified xsi:type="dcterms:W3CDTF">2024-10-08T22:08:48Z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