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</w:t>
      </w:r>
      <w:r>
        <w:t xml:space="preserve"> </w:t>
      </w:r>
      <w:r>
        <w:t xml:space="preserve">курс.</w:t>
      </w:r>
      <w:r>
        <w:t xml:space="preserve"> </w:t>
      </w:r>
      <w:r>
        <w:t xml:space="preserve">Блок</w:t>
      </w:r>
      <w:r>
        <w:t xml:space="preserve"> </w:t>
      </w:r>
      <w:r>
        <w:t xml:space="preserve">2:</w:t>
      </w:r>
      <w:r>
        <w:t xml:space="preserve"> </w:t>
      </w:r>
      <w:r>
        <w:t xml:space="preserve">Защита</w:t>
      </w:r>
      <w:r>
        <w:t xml:space="preserve"> </w:t>
      </w:r>
      <w:r>
        <w:t xml:space="preserve">ПК/Телефона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Ахатов</w:t>
      </w:r>
      <w:r>
        <w:t xml:space="preserve"> </w:t>
      </w:r>
      <w:r>
        <w:t xml:space="preserve">Эмиль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Пройти второй блок курса</w:t>
      </w:r>
      <w:r>
        <w:t xml:space="preserve"> </w:t>
      </w:r>
      <w:r>
        <w:t xml:space="preserve">“</w:t>
      </w:r>
      <w:r>
        <w:t xml:space="preserve">Основы кибербезопасности</w:t>
      </w:r>
      <w:r>
        <w:t xml:space="preserve">”</w:t>
      </w:r>
    </w:p>
    <w:bookmarkEnd w:id="20"/>
    <w:bookmarkStart w:id="81" w:name="выполнение-блока-2-защита-пктелефон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блока 2: Защита ПК/Телефона</w:t>
      </w:r>
    </w:p>
    <w:p>
      <w:pPr>
        <w:pStyle w:val="FirstParagraph"/>
      </w:pPr>
      <w:r>
        <w:t xml:space="preserve">шифрование диска-технология защиты информации</w:t>
      </w:r>
    </w:p>
    <w:p>
      <w:pPr>
        <w:pStyle w:val="CaptionedFigure"/>
      </w:pPr>
      <w:bookmarkStart w:id="24" w:name="fig:001"/>
      <w:r>
        <w:drawing>
          <wp:inline>
            <wp:extent cx="5334000" cy="2196552"/>
            <wp:effectExtent b="0" l="0" r="0" t="0"/>
            <wp:docPr descr="Рис. 1: Вопрос 3.1.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6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Вопрос 3.1.1</w:t>
      </w:r>
    </w:p>
    <w:p>
      <w:pPr>
        <w:pStyle w:val="BodyText"/>
      </w:pPr>
      <w:r>
        <w:t xml:space="preserve">Шифрование диска основано на симметричном шифровании</w:t>
      </w:r>
    </w:p>
    <w:p>
      <w:pPr>
        <w:pStyle w:val="CaptionedFigure"/>
      </w:pPr>
      <w:bookmarkStart w:id="28" w:name="fig:002"/>
      <w:r>
        <w:drawing>
          <wp:inline>
            <wp:extent cx="5334000" cy="2359788"/>
            <wp:effectExtent b="0" l="0" r="0" t="0"/>
            <wp:docPr descr="Рис. 2: Вопрос 3.1.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9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Вопрос 3.1.2</w:t>
      </w:r>
    </w:p>
    <w:p>
      <w:pPr>
        <w:pStyle w:val="BodyText"/>
      </w:pPr>
      <w:r>
        <w:t xml:space="preserve">Отмечены программы с помощью которых можно зашифровать</w:t>
      </w:r>
    </w:p>
    <w:p>
      <w:pPr>
        <w:pStyle w:val="CaptionedFigure"/>
      </w:pPr>
      <w:bookmarkStart w:id="32" w:name="fig:003"/>
      <w:r>
        <w:drawing>
          <wp:inline>
            <wp:extent cx="5334000" cy="2738074"/>
            <wp:effectExtent b="0" l="0" r="0" t="0"/>
            <wp:docPr descr="Рис. 3: Вопрос 3.1.3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8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Вопрос 3.1.3</w:t>
      </w:r>
    </w:p>
    <w:p>
      <w:pPr>
        <w:pStyle w:val="BodyText"/>
      </w:pPr>
      <w:r>
        <w:t xml:space="preserve">Пароль который трудно подобрать - это стойкий пароль</w:t>
      </w:r>
    </w:p>
    <w:p>
      <w:pPr>
        <w:pStyle w:val="CaptionedFigure"/>
      </w:pPr>
      <w:bookmarkStart w:id="36" w:name="fig:004"/>
      <w:r>
        <w:drawing>
          <wp:inline>
            <wp:extent cx="5334000" cy="2418212"/>
            <wp:effectExtent b="0" l="0" r="0" t="0"/>
            <wp:docPr descr="Рис. 4: Вопрос 3.2.1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8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Вопрос 3.2.1</w:t>
      </w:r>
    </w:p>
    <w:p>
      <w:pPr>
        <w:pStyle w:val="BodyText"/>
      </w:pPr>
      <w:r>
        <w:t xml:space="preserve">все варианты кроме менеджера паролей не надежны</w:t>
      </w:r>
    </w:p>
    <w:p>
      <w:pPr>
        <w:pStyle w:val="CaptionedFigure"/>
      </w:pPr>
      <w:bookmarkStart w:id="40" w:name="fig:005"/>
      <w:r>
        <w:drawing>
          <wp:inline>
            <wp:extent cx="5334000" cy="2543298"/>
            <wp:effectExtent b="0" l="0" r="0" t="0"/>
            <wp:docPr descr="Рис. 5: Вопрос 3.2.2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3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Вопрос 3.2.2</w:t>
      </w:r>
    </w:p>
    <w:p>
      <w:pPr>
        <w:pStyle w:val="BodyText"/>
      </w:pPr>
      <w:r>
        <w:t xml:space="preserve">капча нужна для проверки, что за экраном не робот</w:t>
      </w:r>
    </w:p>
    <w:p>
      <w:pPr>
        <w:pStyle w:val="CaptionedFigure"/>
      </w:pPr>
      <w:bookmarkStart w:id="44" w:name="fig:006"/>
      <w:r>
        <w:drawing>
          <wp:inline>
            <wp:extent cx="5334000" cy="2473786"/>
            <wp:effectExtent b="0" l="0" r="0" t="0"/>
            <wp:docPr descr="Рис. 6: Вопрос 3.2.3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3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6: Вопрос 3.2.3</w:t>
      </w:r>
    </w:p>
    <w:p>
      <w:pPr>
        <w:pStyle w:val="BodyText"/>
      </w:pPr>
      <w:r>
        <w:t xml:space="preserve">опасно хранить в открытом виде</w:t>
      </w:r>
    </w:p>
    <w:p>
      <w:pPr>
        <w:pStyle w:val="CaptionedFigure"/>
      </w:pPr>
      <w:bookmarkStart w:id="48" w:name="fig:007"/>
      <w:r>
        <w:drawing>
          <wp:inline>
            <wp:extent cx="5334000" cy="2414336"/>
            <wp:effectExtent b="0" l="0" r="0" t="0"/>
            <wp:docPr descr="Рис. 7: Вопрос 3.2.4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4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7: Вопрос 3.2.4</w:t>
      </w:r>
    </w:p>
    <w:p>
      <w:pPr>
        <w:pStyle w:val="BodyText"/>
      </w:pPr>
      <w:r>
        <w:t xml:space="preserve">соль не поможет</w:t>
      </w:r>
    </w:p>
    <w:p>
      <w:pPr>
        <w:pStyle w:val="CaptionedFigure"/>
      </w:pPr>
      <w:bookmarkStart w:id="52" w:name="fig:008"/>
      <w:r>
        <w:drawing>
          <wp:inline>
            <wp:extent cx="5334000" cy="2221946"/>
            <wp:effectExtent b="0" l="0" r="0" t="0"/>
            <wp:docPr descr="Рис. 8: Вопрос 3.2.5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1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8: Вопрос 3.2.5</w:t>
      </w:r>
    </w:p>
    <w:p>
      <w:pPr>
        <w:pStyle w:val="BodyText"/>
      </w:pPr>
      <w:r>
        <w:t xml:space="preserve">все приведенные меры защищают от утечки данных</w:t>
      </w:r>
    </w:p>
    <w:p>
      <w:pPr>
        <w:pStyle w:val="CaptionedFigure"/>
      </w:pPr>
      <w:bookmarkStart w:id="56" w:name="fig:009"/>
      <w:r>
        <w:drawing>
          <wp:inline>
            <wp:extent cx="5334000" cy="2673609"/>
            <wp:effectExtent b="0" l="0" r="0" t="0"/>
            <wp:docPr descr="Рис. 9: Вопрос 3.2.6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3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9: Вопрос 3.2.6</w:t>
      </w:r>
    </w:p>
    <w:p>
      <w:pPr>
        <w:pStyle w:val="BodyText"/>
      </w:pPr>
      <w:r>
        <w:t xml:space="preserve">фишинговые ссылки очень похожи на ссылки известных сервисов</w:t>
      </w:r>
    </w:p>
    <w:p>
      <w:pPr>
        <w:pStyle w:val="CaptionedFigure"/>
      </w:pPr>
      <w:bookmarkStart w:id="60" w:name="fig:010"/>
      <w:r>
        <w:drawing>
          <wp:inline>
            <wp:extent cx="5334000" cy="2681880"/>
            <wp:effectExtent b="0" l="0" r="0" t="0"/>
            <wp:docPr descr="Рис. 10: Вопрос 3.3.1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1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10: Вопрос 3.3.1</w:t>
      </w:r>
    </w:p>
    <w:p>
      <w:pPr>
        <w:pStyle w:val="BodyText"/>
      </w:pPr>
      <w:r>
        <w:t xml:space="preserve">да может</w:t>
      </w:r>
    </w:p>
    <w:p>
      <w:pPr>
        <w:pStyle w:val="CaptionedFigure"/>
      </w:pPr>
      <w:bookmarkStart w:id="64" w:name="fig:011"/>
      <w:r>
        <w:drawing>
          <wp:inline>
            <wp:extent cx="5334000" cy="2154882"/>
            <wp:effectExtent b="0" l="0" r="0" t="0"/>
            <wp:docPr descr="Рис. 11: Вопрос 3.3.2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4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11: Вопрос 3.3.2</w:t>
      </w:r>
    </w:p>
    <w:p>
      <w:pPr>
        <w:pStyle w:val="BodyText"/>
      </w:pPr>
      <w:r>
        <w:t xml:space="preserve">ответ дан в соответствии с определением</w:t>
      </w:r>
    </w:p>
    <w:p>
      <w:pPr>
        <w:pStyle w:val="CaptionedFigure"/>
      </w:pPr>
      <w:bookmarkStart w:id="68" w:name="fig:012"/>
      <w:r>
        <w:drawing>
          <wp:inline>
            <wp:extent cx="5334000" cy="2430557"/>
            <wp:effectExtent b="0" l="0" r="0" t="0"/>
            <wp:docPr descr="Рис. 12: Вопрос 3.4.1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0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12: Вопрос 3.4.1</w:t>
      </w:r>
    </w:p>
    <w:p>
      <w:pPr>
        <w:pStyle w:val="BodyText"/>
      </w:pPr>
      <w:r>
        <w:t xml:space="preserve">троян маскируется под обычную программу</w:t>
      </w:r>
    </w:p>
    <w:p>
      <w:pPr>
        <w:pStyle w:val="CaptionedFigure"/>
      </w:pPr>
      <w:bookmarkStart w:id="72" w:name="fig:013"/>
      <w:r>
        <w:drawing>
          <wp:inline>
            <wp:extent cx="5334000" cy="2452642"/>
            <wp:effectExtent b="0" l="0" r="0" t="0"/>
            <wp:docPr descr="Рис. 13: Вопрос 3.4.2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2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13: Вопрос 3.4.2</w:t>
      </w:r>
    </w:p>
    <w:p>
      <w:pPr>
        <w:pStyle w:val="CaptionedFigure"/>
      </w:pPr>
      <w:bookmarkStart w:id="76" w:name="fig:014"/>
      <w:r>
        <w:drawing>
          <wp:inline>
            <wp:extent cx="5334000" cy="2445301"/>
            <wp:effectExtent b="0" l="0" r="0" t="0"/>
            <wp:docPr descr="Рис. 14: Вопрос 3.5.1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5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14: Вопрос 3.5.1</w:t>
      </w:r>
    </w:p>
    <w:p>
      <w:pPr>
        <w:pStyle w:val="BodyText"/>
      </w:pPr>
      <w:r>
        <w:t xml:space="preserve">суть сквозного шифрования</w:t>
      </w:r>
    </w:p>
    <w:p>
      <w:pPr>
        <w:pStyle w:val="CaptionedFigure"/>
      </w:pPr>
      <w:bookmarkStart w:id="80" w:name="fig:015"/>
      <w:r>
        <w:drawing>
          <wp:inline>
            <wp:extent cx="5334000" cy="2421246"/>
            <wp:effectExtent b="0" l="0" r="0" t="0"/>
            <wp:docPr descr="Рис. 15: Вопрос 3.5.2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1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Рис. 15: Вопрос 3.5.2</w:t>
      </w:r>
    </w:p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курс. Блок 2: Защита ПК/Телефона</dc:title>
  <dc:creator>Ахатов Эмиль</dc:creator>
  <dc:language>ru-RU</dc:language>
  <cp:keywords/>
  <dcterms:created xsi:type="dcterms:W3CDTF">2026-05-01T13:42:57Z</dcterms:created>
  <dcterms:modified xsi:type="dcterms:W3CDTF">2026-05-01T13:42:57Z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family">
    <vt:lpwstr>libertinus</vt:lpwstr>
  </property>
  <property fmtid="{D5CDD505-2E9C-101B-9397-08002B2CF9AE}" pid="35" name="fontsize">
    <vt:lpwstr>12pt</vt:lpwstr>
  </property>
  <property fmtid="{D5CDD505-2E9C-101B-9397-08002B2CF9AE}" pid="36" name="header-includes">
    <vt:lpwstr/>
  </property>
  <property fmtid="{D5CDD505-2E9C-101B-9397-08002B2CF9AE}" pid="37" name="indent">
    <vt:lpwstr>True</vt:lpwstr>
  </property>
  <property fmtid="{D5CDD505-2E9C-101B-9397-08002B2CF9AE}" pid="38" name="lastDelim">
    <vt:lpwstr>, </vt:lpwstr>
  </property>
  <property fmtid="{D5CDD505-2E9C-101B-9397-08002B2CF9AE}" pid="39" name="linestretch">
    <vt:lpwstr>1.5</vt:lpwstr>
  </property>
  <property fmtid="{D5CDD505-2E9C-101B-9397-08002B2CF9AE}" pid="40" name="linkReferences">
    <vt:lpwstr>False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Title">
    <vt:lpwstr>Список иллюстраций</vt:lpwstr>
  </property>
  <property fmtid="{D5CDD505-2E9C-101B-9397-08002B2CF9AE}" pid="46" name="lolTitle">
    <vt:lpwstr>Листинги</vt:lpwstr>
  </property>
  <property fmtid="{D5CDD505-2E9C-101B-9397-08002B2CF9AE}" pid="47" name="lotTitle">
    <vt:lpwstr>List of Tables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Liberation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Liberation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options">
    <vt:lpwstr>Ligatures=Common,Ligatures=TeX,Scale=0.94</vt:lpwstr>
  </property>
  <property fmtid="{D5CDD505-2E9C-101B-9397-08002B2CF9AE}" pid="67" name="sansfont">
    <vt:lpwstr>Liberation Sans</vt:lpwstr>
  </property>
  <property fmtid="{D5CDD505-2E9C-101B-9397-08002B2CF9AE}" pid="68" name="sansfontoptions">
    <vt:lpwstr>Ligatures=Common,Ligatures=TeX,Scale=MatchLowercase,Scale=0.94</vt:lpwstr>
  </property>
  <property fmtid="{D5CDD505-2E9C-101B-9397-08002B2CF9AE}" pid="69" name="secHeaderDelim">
    <vt:lpwstr> </vt:lpwstr>
  </property>
  <property fmtid="{D5CDD505-2E9C-101B-9397-08002B2CF9AE}" pid="70" name="secHeaderTemplate">
    <vt:lpwstr>isecHeaderDelim[n]t</vt:lpwstr>
  </property>
  <property fmtid="{D5CDD505-2E9C-101B-9397-08002B2CF9AE}" pid="71" name="secLabels">
    <vt:lpwstr>arabic</vt:lpwstr>
  </property>
  <property fmtid="{D5CDD505-2E9C-101B-9397-08002B2CF9AE}" pid="72" name="secPrefix">
    <vt:lpwstr/>
  </property>
  <property fmtid="{D5CDD505-2E9C-101B-9397-08002B2CF9AE}" pid="73" name="secPrefixTemplate">
    <vt:lpwstr>p i</vt:lpwstr>
  </property>
  <property fmtid="{D5CDD505-2E9C-101B-9397-08002B2CF9AE}" pid="74" name="sectionsDepth">
    <vt:lpwstr>0</vt:lpwstr>
  </property>
  <property fmtid="{D5CDD505-2E9C-101B-9397-08002B2CF9AE}" pid="75" name="subfigGrid">
    <vt:lpwstr>False</vt:lpwstr>
  </property>
  <property fmtid="{D5CDD505-2E9C-101B-9397-08002B2CF9AE}" pid="76" name="subfigLabels">
    <vt:lpwstr>alpha a</vt:lpwstr>
  </property>
  <property fmtid="{D5CDD505-2E9C-101B-9397-08002B2CF9AE}" pid="77" name="subfigureChildTemplate">
    <vt:lpwstr>i</vt:lpwstr>
  </property>
  <property fmtid="{D5CDD505-2E9C-101B-9397-08002B2CF9AE}" pid="78" name="subfigureRefIndexTemplate">
    <vt:lpwstr>isuf (s)</vt:lpwstr>
  </property>
  <property fmtid="{D5CDD505-2E9C-101B-9397-08002B2CF9AE}" pid="79" name="subfigureTemplate">
    <vt:lpwstr>figureTitle ititleDelim t. ccs</vt:lpwstr>
  </property>
  <property fmtid="{D5CDD505-2E9C-101B-9397-08002B2CF9AE}" pid="80" name="subtitle">
    <vt:lpwstr>Основы информационной безопасности</vt:lpwstr>
  </property>
  <property fmtid="{D5CDD505-2E9C-101B-9397-08002B2CF9AE}" pid="81" name="tableEqns">
    <vt:lpwstr>False</vt:lpwstr>
  </property>
  <property fmtid="{D5CDD505-2E9C-101B-9397-08002B2CF9AE}" pid="82" name="tableTemplate">
    <vt:lpwstr>tableTitle ititleDelim t</vt:lpwstr>
  </property>
  <property fmtid="{D5CDD505-2E9C-101B-9397-08002B2CF9AE}" pid="83" name="tableTitle">
    <vt:lpwstr>Таблица</vt:lpwstr>
  </property>
  <property fmtid="{D5CDD505-2E9C-101B-9397-08002B2CF9AE}" pid="84" name="tblLabels">
    <vt:lpwstr>arabic</vt:lpwstr>
  </property>
  <property fmtid="{D5CDD505-2E9C-101B-9397-08002B2CF9AE}" pid="85" name="tblPrefix">
    <vt:lpwstr/>
  </property>
  <property fmtid="{D5CDD505-2E9C-101B-9397-08002B2CF9AE}" pid="86" name="tblPrefixTemplate">
    <vt:lpwstr>p i</vt:lpwstr>
  </property>
  <property fmtid="{D5CDD505-2E9C-101B-9397-08002B2CF9AE}" pid="87" name="titleDelim">
    <vt:lpwstr>:</vt:lpwstr>
  </property>
  <property fmtid="{D5CDD505-2E9C-101B-9397-08002B2CF9AE}" pid="88" name="toc">
    <vt:lpwstr>True</vt:lpwstr>
  </property>
  <property fmtid="{D5CDD505-2E9C-101B-9397-08002B2CF9AE}" pid="89" name="toc-depth">
    <vt:lpwstr>2</vt:lpwstr>
  </property>
  <property fmtid="{D5CDD505-2E9C-101B-9397-08002B2CF9AE}" pid="90" name="toc-title">
    <vt:lpwstr>Содержание</vt:lpwstr>
  </property>
</Properties>
</file>