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rPr>
          <w:rFonts w:hint="eastAsia"/>
          <w:b/>
          <w:bCs/>
          <w:sz w:val="28"/>
          <w:szCs w:val="28"/>
        </w:rPr>
      </w:pPr>
    </w:p>
    <w:p>
      <w:pPr>
        <w:rPr>
          <w:rFonts w:hint="eastAsia"/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【财务类】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00" w:lineRule="exact"/>
        <w:jc w:val="center"/>
        <w:textAlignment w:val="auto"/>
        <w:rPr>
          <w:rFonts w:hint="default" w:eastAsiaTheme="minor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物业项目</w:t>
      </w:r>
      <w:r>
        <w:rPr>
          <w:rFonts w:hint="eastAsia"/>
          <w:b/>
          <w:bCs/>
          <w:sz w:val="48"/>
          <w:szCs w:val="48"/>
        </w:rPr>
        <w:t>静态数据</w:t>
      </w:r>
      <w:r>
        <w:rPr>
          <w:rFonts w:hint="eastAsia"/>
          <w:b/>
          <w:bCs/>
          <w:sz w:val="48"/>
          <w:szCs w:val="48"/>
          <w:lang w:val="en-US" w:eastAsia="zh-CN"/>
        </w:rPr>
        <w:t>业务溯源技术指标汇编</w:t>
      </w:r>
    </w:p>
    <w:p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/>
          <w:color w:val="000000"/>
          <w:sz w:val="28"/>
          <w:szCs w:val="28"/>
          <w:lang w:val="en-US" w:eastAsia="zh-CN"/>
        </w:rPr>
        <w:t>（在管物业</w:t>
      </w:r>
      <w:r>
        <w:rPr>
          <w:rFonts w:hint="eastAsia" w:ascii="宋体" w:hAnsi="宋体"/>
          <w:color w:val="000000"/>
          <w:sz w:val="28"/>
          <w:szCs w:val="28"/>
        </w:rPr>
        <w:t>项目适用</w:t>
      </w:r>
      <w:r>
        <w:rPr>
          <w:rFonts w:hint="eastAsia" w:ascii="宋体" w:hAnsi="宋体"/>
          <w:color w:val="000000"/>
          <w:sz w:val="28"/>
          <w:szCs w:val="28"/>
          <w:lang w:eastAsia="zh-CN"/>
        </w:rPr>
        <w:t>）</w:t>
      </w:r>
    </w:p>
    <w:p>
      <w:pPr>
        <w:rPr>
          <w:rFonts w:hint="eastAsia"/>
          <w:b/>
          <w:bCs/>
          <w:sz w:val="28"/>
          <w:szCs w:val="28"/>
        </w:rPr>
      </w:pPr>
    </w:p>
    <w:tbl>
      <w:tblPr>
        <w:tblStyle w:val="9"/>
        <w:tblpPr w:leftFromText="180" w:rightFromText="180" w:vertAnchor="text" w:horzAnchor="page" w:tblpXSpec="center" w:tblpY="62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0"/>
        <w:gridCol w:w="45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项目名称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蓝岛康城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/>
                <w:bCs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所属区域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海甸区域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填报时间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2025.3.13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</w:rPr>
              <w:t>项目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负责人（签字）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val="en-US" w:eastAsia="zh-CN"/>
              </w:rPr>
              <w:t>张辉玲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/>
                <w:b/>
                <w:bCs/>
                <w:color w:val="000000"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区域总经理（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签字</w:t>
            </w:r>
            <w:r>
              <w:rPr>
                <w:rFonts w:hint="eastAsia" w:ascii="宋体" w:hAnsi="宋体"/>
                <w:b/>
                <w:bCs/>
                <w:color w:val="000000"/>
                <w:sz w:val="24"/>
                <w:lang w:eastAsia="zh-CN"/>
              </w:rPr>
              <w:t>）</w:t>
            </w:r>
          </w:p>
        </w:tc>
        <w:tc>
          <w:tcPr>
            <w:tcW w:w="4569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 w:eastAsiaTheme="minorEastAsia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lang w:eastAsia="zh-CN"/>
              </w:rPr>
              <w:t>朱海燕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2750" w:type="dxa"/>
            <w:noWrap w:val="0"/>
            <w:vAlign w:val="center"/>
          </w:tcPr>
          <w:p>
            <w:pPr>
              <w:jc w:val="center"/>
              <w:rPr>
                <w:rFonts w:hint="default" w:ascii="宋体" w:hAnsi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4"/>
                <w:lang w:val="en-US" w:eastAsia="zh-CN"/>
              </w:rPr>
              <w:t>更新日期</w:t>
            </w:r>
          </w:p>
        </w:tc>
        <w:tc>
          <w:tcPr>
            <w:tcW w:w="4569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color w:val="000000"/>
                <w:sz w:val="24"/>
              </w:rPr>
            </w:pPr>
            <w:r>
              <w:t>无</w:t>
            </w:r>
          </w:p>
        </w:tc>
      </w:tr>
    </w:tbl>
    <w:p>
      <w:pPr>
        <w:rPr>
          <w:rFonts w:hint="eastAsia"/>
          <w:b/>
          <w:bCs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  <w:sectPr>
          <w:footerReference r:id="rId3" w:type="default"/>
          <w:pgSz w:w="11906" w:h="16838"/>
          <w:pgMar w:top="1134" w:right="1134" w:bottom="1134" w:left="1134" w:header="851" w:footer="850" w:gutter="0"/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目 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pStyle w:val="8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TOC \o "1-5" \h \u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_Toc15380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>财务类</w:t>
      </w:r>
      <w:r>
        <w:rPr>
          <w:rFonts w:hint="eastAsia" w:ascii="宋体" w:hAnsi="宋体" w:eastAsia="宋体" w:cs="宋体"/>
          <w:szCs w:val="28"/>
        </w:rPr>
        <w:t>基本情况汇总表</w:t>
      </w:r>
      <w:r>
        <w:tab/>
      </w:r>
      <w:r>
        <w:fldChar w:fldCharType="begin"/>
      </w:r>
      <w:r>
        <w:instrText xml:space="preserve"> PAGEREF _Toc15380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_Toc13110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2.1 物业服务费标准台账</w:t>
      </w:r>
      <w:r>
        <w:tab/>
      </w:r>
      <w:r>
        <w:fldChar w:fldCharType="begin"/>
      </w:r>
      <w:r>
        <w:instrText xml:space="preserve"> PAGEREF _Toc13110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_Toc27886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2.2 车辆服务费标准台账</w:t>
      </w:r>
      <w:r>
        <w:tab/>
      </w:r>
      <w:r>
        <w:fldChar w:fldCharType="begin"/>
      </w:r>
      <w:r>
        <w:instrText xml:space="preserve"> PAGEREF _Toc27886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_Toc21790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2.3 公共资源经营收入台账（公共收益）</w:t>
      </w:r>
      <w:r>
        <w:tab/>
      </w:r>
      <w:r>
        <w:fldChar w:fldCharType="begin"/>
      </w:r>
      <w:r>
        <w:instrText xml:space="preserve"> PAGEREF _Toc21790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_Toc17524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2.4 代收代付费用标准台账</w:t>
      </w:r>
      <w:r>
        <w:tab/>
      </w:r>
      <w:r>
        <w:fldChar w:fldCharType="begin"/>
      </w:r>
      <w:r>
        <w:instrText xml:space="preserve"> PAGEREF _Toc17524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_Toc1779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2.5 门禁智能卡/蓝牙卡管理台账</w:t>
      </w:r>
      <w:r>
        <w:tab/>
      </w:r>
      <w:r>
        <w:fldChar w:fldCharType="begin"/>
      </w:r>
      <w:r>
        <w:instrText xml:space="preserve"> PAGEREF _Toc1779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_Toc13661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2.6 日常运行分摊规则台账</w:t>
      </w:r>
      <w:r>
        <w:tab/>
      </w:r>
      <w:r>
        <w:fldChar w:fldCharType="begin"/>
      </w:r>
      <w:r>
        <w:instrText xml:space="preserve"> PAGEREF _Toc13661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_Toc4636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2.7 有偿服务收费标准台账</w:t>
      </w:r>
      <w:r>
        <w:tab/>
      </w:r>
      <w:r>
        <w:fldChar w:fldCharType="begin"/>
      </w:r>
      <w:r>
        <w:instrText xml:space="preserve"> PAGEREF _Toc4636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_Toc9946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2.8 欠费违约金管理台账</w:t>
      </w:r>
      <w:r>
        <w:tab/>
      </w:r>
      <w:r>
        <w:fldChar w:fldCharType="begin"/>
      </w:r>
      <w:r>
        <w:instrText xml:space="preserve"> PAGEREF _Toc9946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_Toc32478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2.9 收费票据管理台账</w:t>
      </w:r>
      <w:r>
        <w:tab/>
      </w:r>
      <w:r>
        <w:fldChar w:fldCharType="begin"/>
      </w:r>
      <w:r>
        <w:instrText xml:space="preserve"> PAGEREF _Toc32478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_Toc11918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2.10 诉讼工作关键依据台账</w:t>
      </w:r>
      <w:r>
        <w:tab/>
      </w:r>
      <w:r>
        <w:fldChar w:fldCharType="begin"/>
      </w:r>
      <w:r>
        <w:instrText xml:space="preserve"> PAGEREF _Toc11918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_Toc18680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2.11 其它经营收入台账</w:t>
      </w:r>
      <w:r>
        <w:tab/>
      </w:r>
      <w:r>
        <w:fldChar w:fldCharType="begin"/>
      </w:r>
      <w:r>
        <w:instrText xml:space="preserve"> PAGEREF _Toc18680 \h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5"/>
        <w:tabs>
          <w:tab w:val="right" w:leader="dot" w:pos="9638"/>
        </w:tabs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_Toc19258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>2.12 内部结算与财务公示台账</w:t>
      </w:r>
      <w:r>
        <w:tab/>
      </w:r>
      <w:r>
        <w:fldChar w:fldCharType="begin"/>
      </w:r>
      <w:r>
        <w:instrText xml:space="preserve"> PAGEREF _Toc19258 \h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val="en-US" w:eastAsia="zh-CN"/>
        </w:rPr>
        <w:fldChar w:fldCharType="end"/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end"/>
      </w:r>
    </w:p>
    <w:p>
      <w:pPr>
        <w:pStyle w:val="3"/>
        <w:bidi w:val="0"/>
        <w:rPr>
          <w:rFonts w:hint="eastAsia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3"/>
        <w:bidi w:val="0"/>
        <w:jc w:val="center"/>
        <w:rPr>
          <w:rFonts w:hint="eastAsia" w:ascii="宋体" w:hAnsi="宋体" w:eastAsia="宋体" w:cs="宋体"/>
          <w:sz w:val="28"/>
          <w:szCs w:val="28"/>
        </w:rPr>
      </w:pPr>
      <w:bookmarkStart w:id="0" w:name="_Toc22879"/>
      <w:bookmarkStart w:id="1" w:name="_Toc5654"/>
      <w:bookmarkStart w:id="2" w:name="_Toc7345"/>
      <w:bookmarkStart w:id="3" w:name="_Toc24996"/>
      <w:bookmarkStart w:id="4" w:name="_Toc9475"/>
      <w:bookmarkStart w:id="5" w:name="_Toc9795"/>
      <w:bookmarkStart w:id="6" w:name="_Toc15380"/>
      <w:bookmarkStart w:id="7" w:name="_Toc7729"/>
      <w:bookmarkStart w:id="8" w:name="_Toc8843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财务类</w:t>
      </w:r>
      <w:r>
        <w:rPr>
          <w:rFonts w:hint="eastAsia" w:ascii="宋体" w:hAnsi="宋体" w:eastAsia="宋体" w:cs="宋体"/>
          <w:sz w:val="28"/>
          <w:szCs w:val="28"/>
        </w:rPr>
        <w:t>基本情况汇总表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9"/>
        <w:tblW w:w="992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472"/>
        <w:gridCol w:w="2864"/>
        <w:gridCol w:w="1376"/>
        <w:gridCol w:w="2103"/>
        <w:gridCol w:w="15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tblHeader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收费/收入/管理类别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核心计费参数/标准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涉及范围/对象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政策/合同依据文件索引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备注/关键管理规则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一、主营收入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物业服务费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住宅：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1.1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 元/月·m²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全体业主/使用人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《前期物业服务合同》/《物业服务合同》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按产权建筑面积计算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物业服务费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商业：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1.45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 元/月·m²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全体业主/使用人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《前期物业服务合同》/《物业服务合同》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按产权建筑面积计算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47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车辆服务费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露天车位：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u w:val="single"/>
                <w:lang w:val="en-US" w:eastAsia="zh-CN"/>
              </w:rPr>
              <w:t>90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元/月·辆；</w:t>
            </w:r>
          </w:p>
        </w:tc>
        <w:tc>
          <w:tcPr>
            <w:tcW w:w="137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车位使用人</w:t>
            </w:r>
          </w:p>
        </w:tc>
        <w:tc>
          <w:tcPr>
            <w:tcW w:w="210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《车位服务协议》、停车场收费备案证明</w:t>
            </w:r>
          </w:p>
        </w:tc>
        <w:tc>
          <w:tcPr>
            <w:tcW w:w="15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包含露天、地库、专有车位及各类非机动车临停费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47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地库（架空）车位：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u w:val="single"/>
                <w:lang w:val="en-US" w:eastAsia="zh-CN"/>
              </w:rPr>
              <w:t>230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元/月·辆；</w:t>
            </w:r>
          </w:p>
        </w:tc>
        <w:tc>
          <w:tcPr>
            <w:tcW w:w="137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10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47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专有（买断）车位：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u w:val="single"/>
                <w:lang w:val="en-US" w:eastAsia="zh-CN"/>
              </w:rPr>
              <w:t>60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元/月·辆；</w:t>
            </w:r>
          </w:p>
        </w:tc>
        <w:tc>
          <w:tcPr>
            <w:tcW w:w="137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10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47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临时：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u w:val="single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元/次·辆；过夜：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u w:val="single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元/次·辆；</w:t>
            </w:r>
          </w:p>
        </w:tc>
        <w:tc>
          <w:tcPr>
            <w:tcW w:w="137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10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47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摩托车（架空/露天）：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u w:val="single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元/月·辆；</w:t>
            </w:r>
          </w:p>
        </w:tc>
        <w:tc>
          <w:tcPr>
            <w:tcW w:w="137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10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47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电动车（架空/露天）：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u w:val="single"/>
                <w:lang w:val="en-US" w:eastAsia="zh-CN"/>
              </w:rPr>
              <w:t>25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元/月·辆；</w:t>
            </w:r>
          </w:p>
        </w:tc>
        <w:tc>
          <w:tcPr>
            <w:tcW w:w="137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10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47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自行车：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元/月·辆；</w:t>
            </w:r>
          </w:p>
        </w:tc>
        <w:tc>
          <w:tcPr>
            <w:tcW w:w="137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10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47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摩托、电动车临时停车费：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元/次·辆；</w:t>
            </w:r>
          </w:p>
        </w:tc>
        <w:tc>
          <w:tcPr>
            <w:tcW w:w="137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10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47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numPr>
                <w:ilvl w:val="0"/>
                <w:numId w:val="0"/>
              </w:numPr>
              <w:ind w:leftChars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自行车临时停车费：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u w:val="singl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  <w:t>元/次·辆</w:t>
            </w:r>
          </w:p>
        </w:tc>
        <w:tc>
          <w:tcPr>
            <w:tcW w:w="137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210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二/十一 公共资源经营收入 (公共收益)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广告位租赁 (电梯框架/液晶)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据合同约定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  <w:t>，X.XX 元/梯·年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广告承租方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《广告位租赁合同》</w:t>
            </w:r>
          </w:p>
        </w:tc>
        <w:tc>
          <w:tcPr>
            <w:tcW w:w="15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收入属公共收益， 需按约定管理与分配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广告位租赁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道闸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据合同约定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  <w:t>，X.XX 元/梯·年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广告承租方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《广告位租赁合同》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通讯基站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据合同约定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运营商/合作方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对应《场地租赁协议》/《合作协议》</w:t>
            </w:r>
          </w:p>
        </w:tc>
        <w:tc>
          <w:tcPr>
            <w:tcW w:w="15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需定期检查设施安全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快递柜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据合同约定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运营商/合作方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对应《场地租赁协议》/《合作协议》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场地租赁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据合同约定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运营商/合作方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对应《场地租赁协议》/《合作协议》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三、代收代付费用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代收水费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商业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据政府/供应方定价执行 (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5.16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元/度， 元/吨)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全体使用户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《供用水合同》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户表计量， 据实代收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代收水费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商业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据政府/供应方定价执行 (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5.16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元/度， 元/吨)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全体使用户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《供用水合同》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户表计量， 据实代收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代收电费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生活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据政府/供应方定价执行 (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0.6095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元/度，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eastAsia="zh-CN"/>
              </w:rPr>
              <w:t>水费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3.14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元/吨)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全体使用户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《供用电合同》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户表计量， 据实代收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代收电费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商业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据政府/供应方定价执行 (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1.12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元/度， 元/吨)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全体使用户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《供用电合同》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户表计量， 据实代收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代收生活垃圾处理费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 元/户·月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全体住户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政府相关收费文件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代环卫部门收取， 按户定额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四/六、 日常运行分摊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公共区域电能耗分摊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据实分摊 (元/度)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全体业主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《管理规约》/《物业服务合同》</w:t>
            </w:r>
          </w:p>
        </w:tc>
        <w:tc>
          <w:tcPr>
            <w:tcW w:w="15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总表减分表， 按产权面积分摊， 需每月公示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公共区域水能耗分摊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据实分摊 (元/吨)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全体业主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《管理规约》/《物业服务合同》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二次供水等专项能耗分摊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据实分摊 (元/度)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受益业主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《管理规约》/《物业服务合同》</w:t>
            </w:r>
          </w:p>
        </w:tc>
        <w:tc>
          <w:tcPr>
            <w:tcW w:w="152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独立电表计量， 按面积或户数分摊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二次供水等专项能耗分摊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据实分摊 (元/度)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受益业主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《管理规约》/《物业服务合同》</w:t>
            </w:r>
          </w:p>
        </w:tc>
        <w:tc>
          <w:tcPr>
            <w:tcW w:w="152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专项维修资金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X.XX 元/m²·月 (预存)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全体业主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《物业管理条例》、当地法规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按法规归集， 使用需公示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五/七、 有偿服务及工本费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装修相关收费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管理费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管理费：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 元/m²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装修业主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《装修管理协议》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装修相关收费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保证金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保证金：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2000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 元/户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装修业主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《装修管理协议》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保证金为押金， 验收合格后退还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装修相关收费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 清运费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运费：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 元/m²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装修业主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《装修管理协议》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t>无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门禁智能卡/蓝牙卡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发行/补办工本费：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 xml:space="preserve"> 元/张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业主/住户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公示文件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首张常免费， 需登记管理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八/九/十、 财务管理与合规费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欠费违约金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自欠费次月起， 按日1‰计算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欠费业主/使用人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《物业服务合同》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计算基数为当期欠交总额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收费票据管理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增值税普票 (物业费)、定额发票 (临停)、收款收据 (押金等)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所有缴费方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公司票据管理制度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规范开具， 存根联需妥善保管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诉讼工作关键依据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物业服务合同、欠费台账、催费记录、法规文件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内部管理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对应合同、档案、法律法规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用于法律诉讼， 资料需完整存档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9927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十二、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  <w:t>内部结算与财务公示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收支公示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每季度/半年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全体业主/相关部门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《物业管理条例》、公司制度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按规定周期对业主进行财务公开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14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分摊公示</w:t>
            </w:r>
          </w:p>
        </w:tc>
        <w:tc>
          <w:tcPr>
            <w:tcW w:w="2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每月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全体业主/相关部门</w:t>
            </w:r>
          </w:p>
        </w:tc>
        <w:tc>
          <w:tcPr>
            <w:tcW w:w="2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《物业管理条例》、公司制度</w:t>
            </w:r>
          </w:p>
        </w:tc>
        <w:tc>
          <w:tcPr>
            <w:tcW w:w="15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按规定周期对业主进行财务公开</w:t>
            </w:r>
          </w:p>
        </w:tc>
      </w:tr>
    </w:tbl>
    <w:p>
      <w:pPr>
        <w:pStyle w:val="2"/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  <w:sectPr>
          <w:pgSz w:w="11906" w:h="16838"/>
          <w:pgMar w:top="1134" w:right="1134" w:bottom="1134" w:left="1134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9" w:name="_Toc2792"/>
      <w:bookmarkStart w:id="10" w:name="_Toc25634"/>
      <w:bookmarkStart w:id="11" w:name="_Toc13382"/>
      <w:bookmarkStart w:id="12" w:name="_Toc7078"/>
      <w:bookmarkStart w:id="13" w:name="_Toc9700"/>
      <w:bookmarkStart w:id="14" w:name="_Toc13110"/>
      <w:bookmarkStart w:id="15" w:name="_Toc13467"/>
      <w:bookmarkStart w:id="16" w:name="_Toc20184"/>
      <w:bookmarkStart w:id="17" w:name="_Toc20776"/>
      <w:r>
        <w:rPr>
          <w:rFonts w:hint="eastAsia" w:ascii="宋体" w:hAnsi="宋体" w:eastAsia="宋体" w:cs="宋体"/>
          <w:lang w:val="en-US" w:eastAsia="zh-CN"/>
        </w:rPr>
        <w:t>2.1 物业服务费标准台账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tbl>
      <w:tblPr>
        <w:tblStyle w:val="10"/>
        <w:tblW w:w="14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350"/>
        <w:gridCol w:w="1900"/>
        <w:gridCol w:w="1452"/>
        <w:gridCol w:w="2040"/>
        <w:gridCol w:w="1440"/>
        <w:gridCol w:w="1365"/>
        <w:gridCol w:w="2685"/>
        <w:gridCol w:w="19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35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收费对象类型</w:t>
            </w:r>
          </w:p>
        </w:tc>
        <w:tc>
          <w:tcPr>
            <w:tcW w:w="190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适用楼栋/区域</w:t>
            </w:r>
          </w:p>
        </w:tc>
        <w:tc>
          <w:tcPr>
            <w:tcW w:w="1452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计费面积（㎡）</w:t>
            </w:r>
          </w:p>
        </w:tc>
        <w:tc>
          <w:tcPr>
            <w:tcW w:w="204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收费标准（元/月·㎡）</w:t>
            </w:r>
          </w:p>
        </w:tc>
        <w:tc>
          <w:tcPr>
            <w:tcW w:w="144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月度应收（元）</w:t>
            </w:r>
          </w:p>
        </w:tc>
        <w:tc>
          <w:tcPr>
            <w:tcW w:w="13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收费起始日期</w:t>
            </w:r>
          </w:p>
        </w:tc>
        <w:tc>
          <w:tcPr>
            <w:tcW w:w="268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收费依据（合同/协议编号）</w:t>
            </w:r>
          </w:p>
        </w:tc>
        <w:tc>
          <w:tcPr>
            <w:tcW w:w="190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备注（如优惠信息）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bookmarkStart w:id="118" w:name="_GoBack" w:colFirst="7" w:colLast="8"/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住宅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单元楼</w:t>
            </w:r>
          </w:p>
        </w:tc>
        <w:tc>
          <w:tcPr>
            <w:tcW w:w="14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37671.58</w:t>
            </w:r>
          </w:p>
        </w:tc>
        <w:tc>
          <w:tcPr>
            <w:tcW w:w="20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1.1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41438.73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2006.5.</w:t>
            </w:r>
          </w:p>
        </w:tc>
        <w:tc>
          <w:tcPr>
            <w:tcW w:w="26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物业服务合同</w:t>
            </w:r>
          </w:p>
        </w:tc>
        <w:tc>
          <w:tcPr>
            <w:tcW w:w="19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按产权建筑面积收费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商业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商铺</w:t>
            </w:r>
          </w:p>
        </w:tc>
        <w:tc>
          <w:tcPr>
            <w:tcW w:w="14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7007.68</w:t>
            </w:r>
          </w:p>
        </w:tc>
        <w:tc>
          <w:tcPr>
            <w:tcW w:w="20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1.45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10161.13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2006.5</w:t>
            </w:r>
          </w:p>
        </w:tc>
        <w:tc>
          <w:tcPr>
            <w:tcW w:w="26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物业服务合同</w:t>
            </w:r>
          </w:p>
        </w:tc>
        <w:tc>
          <w:tcPr>
            <w:tcW w:w="19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按产权建筑面积收费</w:t>
            </w:r>
          </w:p>
        </w:tc>
      </w:tr>
      <w:bookmarkEnd w:id="118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6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包含住宅、商业等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>
      <w:pPr>
        <w:rPr>
          <w:rFonts w:hint="eastAsia" w:ascii="宋体" w:hAnsi="宋体" w:eastAsia="宋体" w:cs="宋体"/>
          <w:lang w:val="en-US" w:eastAsia="zh-CN"/>
        </w:rPr>
      </w:pP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8" w:name="_Toc32381"/>
      <w:bookmarkStart w:id="19" w:name="_Toc6881"/>
      <w:bookmarkStart w:id="20" w:name="_Toc7915"/>
      <w:bookmarkStart w:id="21" w:name="_Toc8292"/>
      <w:bookmarkStart w:id="22" w:name="_Toc25826"/>
      <w:bookmarkStart w:id="23" w:name="_Toc27886"/>
      <w:bookmarkStart w:id="24" w:name="_Toc20330"/>
      <w:bookmarkStart w:id="25" w:name="_Toc9595"/>
      <w:bookmarkStart w:id="26" w:name="_Toc16607"/>
      <w:r>
        <w:rPr>
          <w:rFonts w:hint="eastAsia" w:ascii="宋体" w:hAnsi="宋体" w:eastAsia="宋体" w:cs="宋体"/>
          <w:lang w:val="en-US" w:eastAsia="zh-CN"/>
        </w:rPr>
        <w:t>2.2 车辆服务费标准台账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tbl>
      <w:tblPr>
        <w:tblStyle w:val="10"/>
        <w:tblW w:w="148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350"/>
        <w:gridCol w:w="1900"/>
        <w:gridCol w:w="1866"/>
        <w:gridCol w:w="1626"/>
        <w:gridCol w:w="1440"/>
        <w:gridCol w:w="1365"/>
        <w:gridCol w:w="2284"/>
        <w:gridCol w:w="1185"/>
        <w:gridCol w:w="11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35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车位类型</w:t>
            </w:r>
          </w:p>
        </w:tc>
        <w:tc>
          <w:tcPr>
            <w:tcW w:w="190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车位位置/编号范围</w:t>
            </w:r>
          </w:p>
        </w:tc>
        <w:tc>
          <w:tcPr>
            <w:tcW w:w="186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收费标准（元/月·辆）</w:t>
            </w:r>
          </w:p>
        </w:tc>
        <w:tc>
          <w:tcPr>
            <w:tcW w:w="162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临时停车费标准</w:t>
            </w:r>
          </w:p>
        </w:tc>
        <w:tc>
          <w:tcPr>
            <w:tcW w:w="144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办理条件</w:t>
            </w:r>
          </w:p>
        </w:tc>
        <w:tc>
          <w:tcPr>
            <w:tcW w:w="13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收费起止日期</w:t>
            </w:r>
          </w:p>
        </w:tc>
        <w:tc>
          <w:tcPr>
            <w:tcW w:w="228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收费依据（备案好/协议）</w:t>
            </w:r>
          </w:p>
        </w:tc>
        <w:tc>
          <w:tcPr>
            <w:tcW w:w="118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管理方</w:t>
            </w:r>
          </w:p>
        </w:tc>
        <w:tc>
          <w:tcPr>
            <w:tcW w:w="11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露天车位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地面停车位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油车90元/月，新能源80元/月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5元/次1小时加1元，24小时20元封顶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全体业主/租户使用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2017年1月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物业服务合同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地库购买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地库负一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60元/月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产权人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2023年1月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物业服务合同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地库出租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地库负一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230元/月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5元起，24小时30元封顶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全体业主/租户使用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2008年.1月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物业服务合同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地库自行车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地库负一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0元/月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0元/月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全体业主/租户使用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2008年.1月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物业服务合同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电动车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地面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25元/月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0元/月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全体业主/租户使用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2025年.4月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物业服务合同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物业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8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包含露天车位、地库（架空）车位、专有（买断）车位、汽车临停费、过夜车位、摩托车（架空/露天）、电动车（架空/露天）、自行车、摩托车/电动车临停费、自行车临停费等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27" w:name="_Toc13306"/>
      <w:bookmarkStart w:id="28" w:name="_Toc21790"/>
      <w:bookmarkStart w:id="29" w:name="_Toc14414"/>
      <w:bookmarkStart w:id="30" w:name="_Toc8648"/>
      <w:bookmarkStart w:id="31" w:name="_Toc11264"/>
      <w:bookmarkStart w:id="32" w:name="_Toc3412"/>
      <w:bookmarkStart w:id="33" w:name="_Toc30960"/>
      <w:bookmarkStart w:id="34" w:name="_Toc32525"/>
      <w:bookmarkStart w:id="35" w:name="_Toc15640"/>
      <w:r>
        <w:rPr>
          <w:rFonts w:hint="eastAsia" w:ascii="宋体" w:hAnsi="宋体" w:eastAsia="宋体" w:cs="宋体"/>
          <w:lang w:val="en-US" w:eastAsia="zh-CN"/>
        </w:rPr>
        <w:t>2.3 公共资源经营收入台账（公共收益）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tbl>
      <w:tblPr>
        <w:tblStyle w:val="10"/>
        <w:tblW w:w="149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1305"/>
        <w:gridCol w:w="1837"/>
        <w:gridCol w:w="1804"/>
        <w:gridCol w:w="1314"/>
        <w:gridCol w:w="957"/>
        <w:gridCol w:w="1667"/>
        <w:gridCol w:w="1035"/>
        <w:gridCol w:w="1770"/>
        <w:gridCol w:w="1066"/>
        <w:gridCol w:w="15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66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30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资源类型</w:t>
            </w:r>
          </w:p>
        </w:tc>
        <w:tc>
          <w:tcPr>
            <w:tcW w:w="1837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资源具体位置/标识</w:t>
            </w:r>
          </w:p>
        </w:tc>
        <w:tc>
          <w:tcPr>
            <w:tcW w:w="180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承租方/合作方</w:t>
            </w:r>
          </w:p>
        </w:tc>
        <w:tc>
          <w:tcPr>
            <w:tcW w:w="131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合同编号</w:t>
            </w:r>
          </w:p>
        </w:tc>
        <w:tc>
          <w:tcPr>
            <w:tcW w:w="957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合同期限</w:t>
            </w:r>
          </w:p>
        </w:tc>
        <w:tc>
          <w:tcPr>
            <w:tcW w:w="1667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年合同金额（元）</w:t>
            </w:r>
          </w:p>
        </w:tc>
        <w:tc>
          <w:tcPr>
            <w:tcW w:w="103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支付方式</w:t>
            </w:r>
          </w:p>
        </w:tc>
        <w:tc>
          <w:tcPr>
            <w:tcW w:w="177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合同原件存放位置</w:t>
            </w:r>
          </w:p>
        </w:tc>
        <w:tc>
          <w:tcPr>
            <w:tcW w:w="106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现场照片</w:t>
            </w:r>
          </w:p>
        </w:tc>
        <w:tc>
          <w:tcPr>
            <w:tcW w:w="1529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备注/分成模式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丰巢快递柜</w:t>
            </w:r>
          </w:p>
        </w:tc>
        <w:tc>
          <w:tcPr>
            <w:tcW w:w="18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东门地面</w:t>
            </w:r>
          </w:p>
        </w:tc>
        <w:tc>
          <w:tcPr>
            <w:tcW w:w="18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丰巢网络技术有限公司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2025.4</w:t>
            </w:r>
          </w:p>
        </w:tc>
        <w:tc>
          <w:tcPr>
            <w:tcW w:w="166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3000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转账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公司行政办</w:t>
            </w:r>
          </w:p>
        </w:tc>
        <w:tc>
          <w:tcPr>
            <w:tcW w:w="1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3:7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饮水机</w:t>
            </w:r>
          </w:p>
        </w:tc>
        <w:tc>
          <w:tcPr>
            <w:tcW w:w="18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院子</w:t>
            </w:r>
          </w:p>
        </w:tc>
        <w:tc>
          <w:tcPr>
            <w:tcW w:w="18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海南民生净水科技有限公司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2023.4</w:t>
            </w:r>
          </w:p>
        </w:tc>
        <w:tc>
          <w:tcPr>
            <w:tcW w:w="166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1500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转账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公司行政办</w:t>
            </w:r>
          </w:p>
        </w:tc>
        <w:tc>
          <w:tcPr>
            <w:tcW w:w="1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3:7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椰巢快递柜</w:t>
            </w:r>
          </w:p>
        </w:tc>
        <w:tc>
          <w:tcPr>
            <w:tcW w:w="18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地库负一</w:t>
            </w:r>
          </w:p>
        </w:tc>
        <w:tc>
          <w:tcPr>
            <w:tcW w:w="18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椰巢快递柜有限公司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2025.12</w:t>
            </w:r>
          </w:p>
        </w:tc>
        <w:tc>
          <w:tcPr>
            <w:tcW w:w="166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3000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转账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公司行政办</w:t>
            </w:r>
          </w:p>
        </w:tc>
        <w:tc>
          <w:tcPr>
            <w:tcW w:w="1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3:7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美兆场地费</w:t>
            </w:r>
          </w:p>
        </w:tc>
        <w:tc>
          <w:tcPr>
            <w:tcW w:w="18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地库发电机房</w:t>
            </w:r>
          </w:p>
        </w:tc>
        <w:tc>
          <w:tcPr>
            <w:tcW w:w="18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新建康美兆体检医院有限公司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2012</w:t>
            </w:r>
          </w:p>
        </w:tc>
        <w:tc>
          <w:tcPr>
            <w:tcW w:w="166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5000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转账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公司行政办</w:t>
            </w:r>
          </w:p>
        </w:tc>
        <w:tc>
          <w:tcPr>
            <w:tcW w:w="1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6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6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3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5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6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3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0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2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包含电梯框架广告、电梯液晶广告、道闸租赁广告、通讯基站租赁、快递柜、场地费等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36" w:name="_Toc17358"/>
      <w:bookmarkStart w:id="37" w:name="_Toc3874"/>
      <w:bookmarkStart w:id="38" w:name="_Toc16086"/>
      <w:bookmarkStart w:id="39" w:name="_Toc17524"/>
      <w:bookmarkStart w:id="40" w:name="_Toc11175"/>
      <w:bookmarkStart w:id="41" w:name="_Toc9573"/>
      <w:bookmarkStart w:id="42" w:name="_Toc13051"/>
      <w:bookmarkStart w:id="43" w:name="_Toc28589"/>
      <w:bookmarkStart w:id="44" w:name="_Toc21404"/>
      <w:r>
        <w:rPr>
          <w:rFonts w:hint="eastAsia" w:ascii="宋体" w:hAnsi="宋体" w:eastAsia="宋体" w:cs="宋体"/>
          <w:lang w:val="en-US" w:eastAsia="zh-CN"/>
        </w:rPr>
        <w:t>2.4 代收代付费用标准台账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tbl>
      <w:tblPr>
        <w:tblStyle w:val="10"/>
        <w:tblW w:w="14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570"/>
        <w:gridCol w:w="2220"/>
        <w:gridCol w:w="1326"/>
        <w:gridCol w:w="1626"/>
        <w:gridCol w:w="1314"/>
        <w:gridCol w:w="1930"/>
        <w:gridCol w:w="2339"/>
        <w:gridCol w:w="1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57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代收项目</w:t>
            </w:r>
          </w:p>
        </w:tc>
        <w:tc>
          <w:tcPr>
            <w:tcW w:w="222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最终收款单位</w:t>
            </w:r>
          </w:p>
        </w:tc>
        <w:tc>
          <w:tcPr>
            <w:tcW w:w="132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计费单价</w:t>
            </w:r>
          </w:p>
        </w:tc>
        <w:tc>
          <w:tcPr>
            <w:tcW w:w="162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计费周期</w:t>
            </w:r>
          </w:p>
        </w:tc>
        <w:tc>
          <w:tcPr>
            <w:tcW w:w="131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我方结算周期</w:t>
            </w:r>
          </w:p>
        </w:tc>
        <w:tc>
          <w:tcPr>
            <w:tcW w:w="193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代收手续费/管理费</w:t>
            </w:r>
          </w:p>
        </w:tc>
        <w:tc>
          <w:tcPr>
            <w:tcW w:w="2339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政策依据/协议编号</w:t>
            </w:r>
          </w:p>
        </w:tc>
        <w:tc>
          <w:tcPr>
            <w:tcW w:w="181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备注（如分摊方式）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bookmarkStart w:id="45" w:name="OLE_LINK1" w:colFirst="0" w:colLast="8"/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居民生活用电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南方供电公司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0.6095 元/度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供用电合同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预交电费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商业生活用电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南方供电公司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0.8421 元/度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供用电合同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预交电费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居民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生活用水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1.82元/吨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先用后付费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商业生活用水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3.84元/吨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先用后付费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居民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生活垃圾费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0.37元/吨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先用后付费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商业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生活垃圾费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0.37元/吨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先用后付费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居民污水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垃圾费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0.95元/吨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先用后付费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商业污水</w:t>
            </w: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垃圾费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0.95元/吨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先用后付费</w:t>
            </w:r>
          </w:p>
        </w:tc>
      </w:tr>
      <w:bookmarkEnd w:id="45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特种有水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10.4元/吨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海口开源水务有限公司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先用后付费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1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3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包含生活用电、生活用水、商业用电、商业用水、生活垃圾等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46" w:name="_Toc791"/>
      <w:bookmarkStart w:id="47" w:name="_Toc30343"/>
      <w:bookmarkStart w:id="48" w:name="_Toc8907"/>
      <w:bookmarkStart w:id="49" w:name="_Toc1779"/>
      <w:bookmarkStart w:id="50" w:name="_Toc2319"/>
      <w:bookmarkStart w:id="51" w:name="_Toc12703"/>
      <w:bookmarkStart w:id="52" w:name="_Toc26651"/>
      <w:bookmarkStart w:id="53" w:name="_Toc11526"/>
      <w:bookmarkStart w:id="54" w:name="_Toc6673"/>
      <w:r>
        <w:rPr>
          <w:rFonts w:hint="eastAsia" w:ascii="宋体" w:hAnsi="宋体" w:eastAsia="宋体" w:cs="宋体"/>
          <w:lang w:val="en-US" w:eastAsia="zh-CN"/>
        </w:rPr>
        <w:t>2.5 门禁智能卡/蓝牙卡管理台账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tbl>
      <w:tblPr>
        <w:tblStyle w:val="10"/>
        <w:tblW w:w="14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2006"/>
        <w:gridCol w:w="1545"/>
        <w:gridCol w:w="2220"/>
        <w:gridCol w:w="1980"/>
        <w:gridCol w:w="1980"/>
        <w:gridCol w:w="1380"/>
        <w:gridCol w:w="1170"/>
        <w:gridCol w:w="1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00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卡证类型</w:t>
            </w:r>
          </w:p>
        </w:tc>
        <w:tc>
          <w:tcPr>
            <w:tcW w:w="154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适用系统/区域</w:t>
            </w:r>
          </w:p>
        </w:tc>
        <w:tc>
          <w:tcPr>
            <w:tcW w:w="222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发行对象</w:t>
            </w:r>
          </w:p>
        </w:tc>
        <w:tc>
          <w:tcPr>
            <w:tcW w:w="19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发行工本费（元/张）</w:t>
            </w:r>
          </w:p>
        </w:tc>
        <w:tc>
          <w:tcPr>
            <w:tcW w:w="19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补办/重制费（元/张）</w:t>
            </w:r>
          </w:p>
        </w:tc>
        <w:tc>
          <w:tcPr>
            <w:tcW w:w="13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押金（元/张）</w:t>
            </w:r>
          </w:p>
        </w:tc>
        <w:tc>
          <w:tcPr>
            <w:tcW w:w="117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票据类型</w:t>
            </w:r>
          </w:p>
        </w:tc>
        <w:tc>
          <w:tcPr>
            <w:tcW w:w="186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管理规则/备注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车牌识别</w:t>
            </w: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地面/地库停车场道闸系统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固定车位业主/月租车主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增值税普票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车牌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车牌识别</w:t>
            </w: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地面/地库停车场道闸系统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固定车位业主/月租车主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增值税普票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车牌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门禁刷脸机</w:t>
            </w: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单元楼道，生活区域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业主/出租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刷脸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0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4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3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17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55" w:name="_Toc21228"/>
      <w:bookmarkStart w:id="56" w:name="_Toc2428"/>
      <w:bookmarkStart w:id="57" w:name="_Toc19271"/>
      <w:bookmarkStart w:id="58" w:name="_Toc19566"/>
      <w:bookmarkStart w:id="59" w:name="_Toc13661"/>
      <w:bookmarkStart w:id="60" w:name="_Toc14621"/>
      <w:bookmarkStart w:id="61" w:name="_Toc12872"/>
      <w:bookmarkStart w:id="62" w:name="_Toc26899"/>
      <w:bookmarkStart w:id="63" w:name="_Toc27454"/>
      <w:r>
        <w:rPr>
          <w:rFonts w:hint="eastAsia" w:ascii="宋体" w:hAnsi="宋体" w:eastAsia="宋体" w:cs="宋体"/>
          <w:lang w:val="en-US" w:eastAsia="zh-CN"/>
        </w:rPr>
        <w:t>2.6 日常运行分摊规则台账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tbl>
      <w:tblPr>
        <w:tblStyle w:val="10"/>
        <w:tblW w:w="14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796"/>
        <w:gridCol w:w="1665"/>
        <w:gridCol w:w="1905"/>
        <w:gridCol w:w="965"/>
        <w:gridCol w:w="2310"/>
        <w:gridCol w:w="1897"/>
        <w:gridCol w:w="1683"/>
        <w:gridCol w:w="1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79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分摊项目</w:t>
            </w:r>
          </w:p>
        </w:tc>
        <w:tc>
          <w:tcPr>
            <w:tcW w:w="16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计量方式</w:t>
            </w:r>
          </w:p>
        </w:tc>
        <w:tc>
          <w:tcPr>
            <w:tcW w:w="190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分摊单价/系数</w:t>
            </w:r>
          </w:p>
        </w:tc>
        <w:tc>
          <w:tcPr>
            <w:tcW w:w="9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分摊周期</w:t>
            </w:r>
          </w:p>
        </w:tc>
        <w:tc>
          <w:tcPr>
            <w:tcW w:w="23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分摊对象 (全体/受益户)</w:t>
            </w:r>
          </w:p>
        </w:tc>
        <w:tc>
          <w:tcPr>
            <w:tcW w:w="1897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分摊基数 (面积/户)</w:t>
            </w:r>
          </w:p>
        </w:tc>
        <w:tc>
          <w:tcPr>
            <w:tcW w:w="1683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政策/协议依据</w:t>
            </w:r>
          </w:p>
        </w:tc>
        <w:tc>
          <w:tcPr>
            <w:tcW w:w="192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公示要求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 xml:space="preserve">公共区域水能耗 </w:t>
            </w: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按照面积分摊</w:t>
            </w:r>
          </w:p>
        </w:tc>
        <w:tc>
          <w:tcPr>
            <w:tcW w:w="19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每月按照用水量分摊</w:t>
            </w:r>
          </w:p>
        </w:tc>
        <w:tc>
          <w:tcPr>
            <w:tcW w:w="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23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全体业主</w:t>
            </w:r>
          </w:p>
        </w:tc>
        <w:tc>
          <w:tcPr>
            <w:tcW w:w="18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产权建筑面积</w:t>
            </w:r>
          </w:p>
        </w:tc>
        <w:tc>
          <w:tcPr>
            <w:tcW w:w="16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《管理规约》/《物业服务合同》</w:t>
            </w: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公共区域电能耗</w:t>
            </w: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按照面积分摊</w:t>
            </w:r>
          </w:p>
        </w:tc>
        <w:tc>
          <w:tcPr>
            <w:tcW w:w="19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每月按照用电量分摊</w:t>
            </w:r>
          </w:p>
        </w:tc>
        <w:tc>
          <w:tcPr>
            <w:tcW w:w="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23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全体业主</w:t>
            </w:r>
          </w:p>
        </w:tc>
        <w:tc>
          <w:tcPr>
            <w:tcW w:w="18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产权建筑面积</w:t>
            </w:r>
          </w:p>
        </w:tc>
        <w:tc>
          <w:tcPr>
            <w:tcW w:w="16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《管理规约》/《物业服务合同》</w:t>
            </w: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二次加压电费</w:t>
            </w: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按照面积分摊</w:t>
            </w:r>
          </w:p>
        </w:tc>
        <w:tc>
          <w:tcPr>
            <w:tcW w:w="19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每月按照用电量分摊</w:t>
            </w:r>
          </w:p>
        </w:tc>
        <w:tc>
          <w:tcPr>
            <w:tcW w:w="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23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全体业主</w:t>
            </w:r>
          </w:p>
        </w:tc>
        <w:tc>
          <w:tcPr>
            <w:tcW w:w="18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产权建筑面积</w:t>
            </w:r>
          </w:p>
        </w:tc>
        <w:tc>
          <w:tcPr>
            <w:tcW w:w="16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《管理规约》/《物业服务合同》</w:t>
            </w: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电梯用电费</w:t>
            </w: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按照面积分摊</w:t>
            </w:r>
          </w:p>
        </w:tc>
        <w:tc>
          <w:tcPr>
            <w:tcW w:w="19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每月按照用电量分摊</w:t>
            </w:r>
          </w:p>
        </w:tc>
        <w:tc>
          <w:tcPr>
            <w:tcW w:w="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每月</w:t>
            </w:r>
          </w:p>
        </w:tc>
        <w:tc>
          <w:tcPr>
            <w:tcW w:w="23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全体业主</w:t>
            </w:r>
          </w:p>
        </w:tc>
        <w:tc>
          <w:tcPr>
            <w:tcW w:w="18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产权建筑面积</w:t>
            </w:r>
          </w:p>
        </w:tc>
        <w:tc>
          <w:tcPr>
            <w:tcW w:w="16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《管理规约》/《物业服务合同》</w:t>
            </w: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79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9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包含共用设施设备用水分摊、共用设施设备用电分摊、动力（二次加压）、电梯运行用电分摊、化粪池清掏费、管道疏通费、专项维修资金、太阳能用水等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64" w:name="_Toc7493"/>
      <w:bookmarkStart w:id="65" w:name="_Toc4636"/>
      <w:bookmarkStart w:id="66" w:name="_Toc1458"/>
      <w:bookmarkStart w:id="67" w:name="_Toc21668"/>
      <w:bookmarkStart w:id="68" w:name="_Toc3646"/>
      <w:bookmarkStart w:id="69" w:name="_Toc25534"/>
      <w:bookmarkStart w:id="70" w:name="_Toc8926"/>
      <w:bookmarkStart w:id="71" w:name="_Toc25390"/>
      <w:bookmarkStart w:id="72" w:name="_Toc8557"/>
      <w:r>
        <w:rPr>
          <w:rFonts w:hint="eastAsia" w:ascii="宋体" w:hAnsi="宋体" w:eastAsia="宋体" w:cs="宋体"/>
          <w:lang w:val="en-US" w:eastAsia="zh-CN"/>
        </w:rPr>
        <w:t>2.7 有偿服务收费标准台账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tbl>
      <w:tblPr>
        <w:tblStyle w:val="10"/>
        <w:tblW w:w="148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661"/>
        <w:gridCol w:w="2580"/>
        <w:gridCol w:w="2325"/>
        <w:gridCol w:w="1965"/>
        <w:gridCol w:w="2280"/>
        <w:gridCol w:w="1725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66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服务项目</w:t>
            </w:r>
          </w:p>
        </w:tc>
        <w:tc>
          <w:tcPr>
            <w:tcW w:w="25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服务内容/标准</w:t>
            </w:r>
          </w:p>
        </w:tc>
        <w:tc>
          <w:tcPr>
            <w:tcW w:w="232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收费标准</w:t>
            </w:r>
          </w:p>
        </w:tc>
        <w:tc>
          <w:tcPr>
            <w:tcW w:w="19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收费依据/定价方式</w:t>
            </w:r>
          </w:p>
        </w:tc>
        <w:tc>
          <w:tcPr>
            <w:tcW w:w="22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服务提供方 (自营/特约)</w:t>
            </w:r>
          </w:p>
        </w:tc>
        <w:tc>
          <w:tcPr>
            <w:tcW w:w="172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特约单位/联系人</w:t>
            </w:r>
          </w:p>
        </w:tc>
        <w:tc>
          <w:tcPr>
            <w:tcW w:w="160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更换漏电开关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更换（明、暗）开关面板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更换（明、暗）插座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更换客厅吸顶大灯（LED）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面议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更换小吸顶灯（LED）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更换吊扇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80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7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安装壁画（50CM*50CM）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8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室内加装明线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10/米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9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更换马桶水箱配件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50/套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10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更换洗手盆排水管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20/套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11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室内墙上钻孔安装电器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100/台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12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室内钻孔安装挂件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50/件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13</w:t>
            </w:r>
          </w:p>
        </w:tc>
        <w:tc>
          <w:tcPr>
            <w:tcW w:w="166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25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更换水表</w:t>
            </w:r>
          </w:p>
        </w:tc>
        <w:tc>
          <w:tcPr>
            <w:tcW w:w="23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19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17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6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14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更换电表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15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更换水龙头（单冷）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16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更换水龙头（冷热两用）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17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更换角阀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30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更换金属软管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19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更换洗菜盆排水管（单盆）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50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更换洗菜盆排水管（双盆）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60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21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户内维修 (小修)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室内疏通下水管道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80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市场价/双方约定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物业工程部/特约单位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0" w:type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价格已公示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包含维修、家政服务等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73" w:name="_Toc6389"/>
      <w:bookmarkStart w:id="74" w:name="_Toc25397"/>
      <w:bookmarkStart w:id="75" w:name="_Toc9946"/>
      <w:bookmarkStart w:id="76" w:name="_Toc13637"/>
      <w:bookmarkStart w:id="77" w:name="_Toc18631"/>
      <w:bookmarkStart w:id="78" w:name="_Toc27274"/>
      <w:bookmarkStart w:id="79" w:name="_Toc10410"/>
      <w:bookmarkStart w:id="80" w:name="_Toc4477"/>
      <w:bookmarkStart w:id="81" w:name="_Toc6421"/>
      <w:r>
        <w:rPr>
          <w:rFonts w:hint="eastAsia" w:ascii="宋体" w:hAnsi="宋体" w:eastAsia="宋体" w:cs="宋体"/>
          <w:lang w:val="en-US" w:eastAsia="zh-CN"/>
        </w:rPr>
        <w:t>2.8 欠费违约金管理台账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tbl>
      <w:tblPr>
        <w:tblStyle w:val="10"/>
        <w:tblW w:w="148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2588"/>
        <w:gridCol w:w="2280"/>
        <w:gridCol w:w="2190"/>
        <w:gridCol w:w="2865"/>
        <w:gridCol w:w="2175"/>
        <w:gridCol w:w="20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58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适用费用类型</w:t>
            </w:r>
          </w:p>
        </w:tc>
        <w:tc>
          <w:tcPr>
            <w:tcW w:w="22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违约金起算日</w:t>
            </w:r>
          </w:p>
        </w:tc>
        <w:tc>
          <w:tcPr>
            <w:tcW w:w="219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违约金计算标准 (日)</w:t>
            </w:r>
          </w:p>
        </w:tc>
        <w:tc>
          <w:tcPr>
            <w:tcW w:w="286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计算基数</w:t>
            </w:r>
          </w:p>
        </w:tc>
        <w:tc>
          <w:tcPr>
            <w:tcW w:w="217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政策/合同依据</w:t>
            </w:r>
          </w:p>
        </w:tc>
        <w:tc>
          <w:tcPr>
            <w:tcW w:w="205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物业服务费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缴费周期届满次月1日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欠交总额的 1‰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当期欠交的物业服务费总额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《物业服务合同》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车位服务费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缴费周期届满次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月1日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欠交总额的 1‰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当期欠交的相应费用总额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《管理规约》/《物业服务合同》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或参照物业服务费标准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月租车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缴费周期届满次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月1日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欠交总额的 1‰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当期欠交的相应费用总额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《管理规约》/《物业服务合同》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8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2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9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86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17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bidi w:val="0"/>
        <w:rPr>
          <w:rFonts w:hint="eastAsia" w:ascii="宋体" w:hAnsi="宋体" w:eastAsia="宋体" w:cs="宋体"/>
          <w:lang w:val="en-US" w:eastAsia="zh-CN"/>
        </w:rPr>
      </w:pP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82" w:name="_Toc29376"/>
      <w:bookmarkStart w:id="83" w:name="_Toc32478"/>
      <w:bookmarkStart w:id="84" w:name="_Toc12463"/>
      <w:bookmarkStart w:id="85" w:name="_Toc3832"/>
      <w:bookmarkStart w:id="86" w:name="_Toc22572"/>
      <w:bookmarkStart w:id="87" w:name="_Toc10299"/>
      <w:bookmarkStart w:id="88" w:name="_Toc8658"/>
      <w:bookmarkStart w:id="89" w:name="_Toc28292"/>
      <w:bookmarkStart w:id="90" w:name="_Toc29550"/>
      <w:r>
        <w:rPr>
          <w:rFonts w:hint="eastAsia" w:ascii="宋体" w:hAnsi="宋体" w:eastAsia="宋体" w:cs="宋体"/>
          <w:lang w:val="en-US" w:eastAsia="zh-CN"/>
        </w:rPr>
        <w:t>2.9 收费票据管理台账</w:t>
      </w:r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tbl>
      <w:tblPr>
        <w:tblStyle w:val="10"/>
        <w:tblW w:w="148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2378"/>
        <w:gridCol w:w="2340"/>
        <w:gridCol w:w="1530"/>
        <w:gridCol w:w="3255"/>
        <w:gridCol w:w="2595"/>
        <w:gridCol w:w="20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37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收费项目</w:t>
            </w:r>
          </w:p>
        </w:tc>
        <w:tc>
          <w:tcPr>
            <w:tcW w:w="234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开具票据类型</w:t>
            </w:r>
          </w:p>
        </w:tc>
        <w:tc>
          <w:tcPr>
            <w:tcW w:w="153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票据来源</w:t>
            </w:r>
          </w:p>
        </w:tc>
        <w:tc>
          <w:tcPr>
            <w:tcW w:w="325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领用/核销流程</w:t>
            </w:r>
          </w:p>
        </w:tc>
        <w:tc>
          <w:tcPr>
            <w:tcW w:w="259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票据存根联保管位置</w:t>
            </w:r>
          </w:p>
        </w:tc>
        <w:tc>
          <w:tcPr>
            <w:tcW w:w="2058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物业服务费、车位费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增值税普通发票 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系统推送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按实际消费金额开具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代收水电费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增值税普通发票 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系统推送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最终以供水供电公司发票为准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丰巢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快递柜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增值税普通发票 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系统推送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按实际消费金额开具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椰巢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  <w:t>快递柜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增值税普通发票 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系统推送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按实际消费金额开具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5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饮水机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增值税普通发票 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系统推送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按实际消费金额开具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6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月租车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 xml:space="preserve">增值税普通发票 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系统推送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系统后台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按实际消费金额开具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7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53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325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59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05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bidi w:val="0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注：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包含物业服务费、固定停车费、临时停车费、代收费用、代收分摊费、有偿服务、押金等。</w:t>
      </w: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91" w:name="_Toc8133"/>
      <w:bookmarkStart w:id="92" w:name="_Toc11918"/>
      <w:bookmarkStart w:id="93" w:name="_Toc1006"/>
      <w:bookmarkStart w:id="94" w:name="_Toc15329"/>
      <w:bookmarkStart w:id="95" w:name="_Toc16562"/>
      <w:bookmarkStart w:id="96" w:name="_Toc15748"/>
      <w:bookmarkStart w:id="97" w:name="_Toc2897"/>
      <w:bookmarkStart w:id="98" w:name="_Toc32447"/>
      <w:bookmarkStart w:id="99" w:name="_Toc27440"/>
      <w:r>
        <w:rPr>
          <w:rFonts w:hint="eastAsia" w:ascii="宋体" w:hAnsi="宋体" w:eastAsia="宋体" w:cs="宋体"/>
          <w:lang w:val="en-US" w:eastAsia="zh-CN"/>
        </w:rPr>
        <w:t>2.10 诉讼工作关键依据台账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tbl>
      <w:tblPr>
        <w:tblStyle w:val="10"/>
        <w:tblW w:w="148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621"/>
        <w:gridCol w:w="4125"/>
        <w:gridCol w:w="1680"/>
        <w:gridCol w:w="1810"/>
        <w:gridCol w:w="4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621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依据文件类别</w:t>
            </w:r>
          </w:p>
        </w:tc>
        <w:tc>
          <w:tcPr>
            <w:tcW w:w="4125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文件名称/关键条款</w:t>
            </w:r>
          </w:p>
        </w:tc>
        <w:tc>
          <w:tcPr>
            <w:tcW w:w="16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文件编号/索引</w:t>
            </w:r>
          </w:p>
        </w:tc>
        <w:tc>
          <w:tcPr>
            <w:tcW w:w="181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原件存放位置</w:t>
            </w:r>
          </w:p>
        </w:tc>
        <w:tc>
          <w:tcPr>
            <w:tcW w:w="492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用途说明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示例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核心合同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《前期物业服务合同》/《物业服务合同》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总部档案室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kern w:val="2"/>
                <w:sz w:val="18"/>
                <w:szCs w:val="18"/>
                <w:vertAlign w:val="baseline"/>
                <w:lang w:val="en-US" w:eastAsia="zh-CN" w:bidi="ar-SA"/>
              </w:rPr>
              <w:t>界定服务内容、收费标准、双方权利义务的根本依据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法规文件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《物业管理条例》及地方性法规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法务部/项目档案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提供收费合法性、违约金计算等法律支持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业主资料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《业主清册》、产权证明复印件、入住文件签收单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客服部业主档案柜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确认被告主体身份及合同关系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欠费证据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历年收费台账、催费通知单（存根联）、缴费提醒记录（短信/微信截图）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财务部/客服部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证明欠费事实、金额及已履行催告义务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标准流程文件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《欠费催收与诉讼管理作业指引》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项目经理/财务室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内部操作规范， 确保程序合规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核心合同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《物业服务合同》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行政办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界定服务内容、收费标准、双方权利义务的根本依据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业主资料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《业主清册》、产权证明复印件、入住文件签收单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小区物业服务中心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确认被告主体身份及合同关系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欠费证据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历年收费台账、催费通知单（存根联）、缴费提醒记录（短信/微信截图）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小区物业服务中心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证明欠费事实、金额及已履行催告义务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2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12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6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81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bidi w:val="0"/>
        <w:rPr>
          <w:rFonts w:hint="eastAsia" w:ascii="宋体" w:hAnsi="宋体" w:eastAsia="宋体" w:cs="宋体"/>
          <w:lang w:val="en-US" w:eastAsia="zh-CN"/>
        </w:rPr>
      </w:pPr>
    </w:p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00" w:name="_Toc19163"/>
      <w:bookmarkStart w:id="101" w:name="_Toc31875"/>
      <w:bookmarkStart w:id="102" w:name="_Toc27109"/>
      <w:bookmarkStart w:id="103" w:name="_Toc20016"/>
      <w:bookmarkStart w:id="104" w:name="_Toc32704"/>
      <w:bookmarkStart w:id="105" w:name="_Toc27998"/>
      <w:bookmarkStart w:id="106" w:name="_Toc11477"/>
      <w:bookmarkStart w:id="107" w:name="_Toc17615"/>
      <w:bookmarkStart w:id="108" w:name="_Toc18680"/>
      <w:r>
        <w:rPr>
          <w:rFonts w:hint="eastAsia" w:ascii="宋体" w:hAnsi="宋体" w:eastAsia="宋体" w:cs="宋体"/>
          <w:lang w:val="en-US" w:eastAsia="zh-CN"/>
        </w:rPr>
        <w:t>2.11 其它经营收入台账</w:t>
      </w:r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tbl>
      <w:tblPr>
        <w:tblStyle w:val="10"/>
        <w:tblW w:w="147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52"/>
        <w:gridCol w:w="1620"/>
        <w:gridCol w:w="1650"/>
        <w:gridCol w:w="1500"/>
        <w:gridCol w:w="1464"/>
        <w:gridCol w:w="2032"/>
        <w:gridCol w:w="1480"/>
        <w:gridCol w:w="1366"/>
        <w:gridCol w:w="13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  <w:tblHeader/>
        </w:trPr>
        <w:tc>
          <w:tcPr>
            <w:tcW w:w="85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1452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收入项目</w:t>
            </w:r>
          </w:p>
        </w:tc>
        <w:tc>
          <w:tcPr>
            <w:tcW w:w="162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资源/场地位置</w:t>
            </w:r>
          </w:p>
        </w:tc>
        <w:tc>
          <w:tcPr>
            <w:tcW w:w="165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合作/承租方</w:t>
            </w:r>
          </w:p>
        </w:tc>
        <w:tc>
          <w:tcPr>
            <w:tcW w:w="150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合同/协议编号</w:t>
            </w:r>
          </w:p>
        </w:tc>
        <w:tc>
          <w:tcPr>
            <w:tcW w:w="1464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合同期限</w:t>
            </w:r>
          </w:p>
        </w:tc>
        <w:tc>
          <w:tcPr>
            <w:tcW w:w="2032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结算标准 (年/月)</w:t>
            </w:r>
          </w:p>
        </w:tc>
        <w:tc>
          <w:tcPr>
            <w:tcW w:w="14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支付方式</w:t>
            </w:r>
          </w:p>
        </w:tc>
        <w:tc>
          <w:tcPr>
            <w:tcW w:w="136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合同原件存放</w:t>
            </w:r>
          </w:p>
        </w:tc>
        <w:tc>
          <w:tcPr>
            <w:tcW w:w="136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4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丰巢快递柜</w:t>
            </w:r>
          </w:p>
        </w:tc>
        <w:tc>
          <w:tcPr>
            <w:tcW w:w="16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东门地面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丰巢网络技术有限公司</w:t>
            </w: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合同</w:t>
            </w:r>
          </w:p>
        </w:tc>
        <w:tc>
          <w:tcPr>
            <w:tcW w:w="14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2028.6.30</w:t>
            </w:r>
          </w:p>
        </w:tc>
        <w:tc>
          <w:tcPr>
            <w:tcW w:w="203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每年</w:t>
            </w:r>
          </w:p>
        </w:tc>
        <w:tc>
          <w:tcPr>
            <w:tcW w:w="14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转帐</w:t>
            </w:r>
          </w:p>
        </w:tc>
        <w:tc>
          <w:tcPr>
            <w:tcW w:w="13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行政办</w:t>
            </w:r>
          </w:p>
        </w:tc>
        <w:tc>
          <w:tcPr>
            <w:tcW w:w="13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固定场地费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4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饮水机</w:t>
            </w:r>
          </w:p>
        </w:tc>
        <w:tc>
          <w:tcPr>
            <w:tcW w:w="16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院子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海南民生净水科技有限公司</w:t>
            </w: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合同</w:t>
            </w:r>
          </w:p>
        </w:tc>
        <w:tc>
          <w:tcPr>
            <w:tcW w:w="14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2028.7.14</w:t>
            </w:r>
          </w:p>
        </w:tc>
        <w:tc>
          <w:tcPr>
            <w:tcW w:w="203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每年</w:t>
            </w:r>
          </w:p>
        </w:tc>
        <w:tc>
          <w:tcPr>
            <w:tcW w:w="14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转帐</w:t>
            </w:r>
          </w:p>
        </w:tc>
        <w:tc>
          <w:tcPr>
            <w:tcW w:w="13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行政办</w:t>
            </w:r>
          </w:p>
        </w:tc>
        <w:tc>
          <w:tcPr>
            <w:tcW w:w="13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固定场地费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4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椰巢快递柜</w:t>
            </w:r>
          </w:p>
        </w:tc>
        <w:tc>
          <w:tcPr>
            <w:tcW w:w="16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地库负一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椰巢快递柜有限公司</w:t>
            </w: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合同</w:t>
            </w:r>
          </w:p>
        </w:tc>
        <w:tc>
          <w:tcPr>
            <w:tcW w:w="14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2028.6.30</w:t>
            </w:r>
          </w:p>
        </w:tc>
        <w:tc>
          <w:tcPr>
            <w:tcW w:w="203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每年</w:t>
            </w:r>
          </w:p>
        </w:tc>
        <w:tc>
          <w:tcPr>
            <w:tcW w:w="14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转帐</w:t>
            </w:r>
          </w:p>
        </w:tc>
        <w:tc>
          <w:tcPr>
            <w:tcW w:w="13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行政办</w:t>
            </w:r>
          </w:p>
        </w:tc>
        <w:tc>
          <w:tcPr>
            <w:tcW w:w="13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固定场地费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145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美兆场地费</w:t>
            </w:r>
          </w:p>
        </w:tc>
        <w:tc>
          <w:tcPr>
            <w:tcW w:w="16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地库发电机房</w:t>
            </w:r>
          </w:p>
        </w:tc>
        <w:tc>
          <w:tcPr>
            <w:tcW w:w="165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新建康美兆体检医院有限公司</w:t>
            </w:r>
          </w:p>
        </w:tc>
        <w:tc>
          <w:tcPr>
            <w:tcW w:w="15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  <w:t>合同</w:t>
            </w:r>
          </w:p>
        </w:tc>
        <w:tc>
          <w:tcPr>
            <w:tcW w:w="146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2025.1</w:t>
            </w:r>
          </w:p>
        </w:tc>
        <w:tc>
          <w:tcPr>
            <w:tcW w:w="2032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每年</w:t>
            </w:r>
          </w:p>
        </w:tc>
        <w:tc>
          <w:tcPr>
            <w:tcW w:w="14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转帐</w:t>
            </w:r>
          </w:p>
        </w:tc>
        <w:tc>
          <w:tcPr>
            <w:tcW w:w="13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行政办</w:t>
            </w:r>
          </w:p>
        </w:tc>
        <w:tc>
          <w:tcPr>
            <w:tcW w:w="136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固定场地费</w:t>
            </w:r>
          </w:p>
        </w:tc>
      </w:tr>
    </w:tbl>
    <w:p>
      <w:pPr>
        <w:pStyle w:val="4"/>
        <w:bidi w:val="0"/>
        <w:rPr>
          <w:rFonts w:hint="eastAsia" w:ascii="宋体" w:hAnsi="宋体" w:eastAsia="宋体" w:cs="宋体"/>
          <w:lang w:val="en-US" w:eastAsia="zh-CN"/>
        </w:rPr>
      </w:pPr>
      <w:bookmarkStart w:id="109" w:name="_Toc32706"/>
      <w:bookmarkStart w:id="110" w:name="_Toc7254"/>
      <w:bookmarkStart w:id="111" w:name="_Toc19258"/>
      <w:bookmarkStart w:id="112" w:name="_Toc11149"/>
      <w:bookmarkStart w:id="113" w:name="_Toc29858"/>
      <w:bookmarkStart w:id="114" w:name="_Toc7426"/>
      <w:bookmarkStart w:id="115" w:name="_Toc5279"/>
      <w:bookmarkStart w:id="116" w:name="_Toc26922"/>
      <w:bookmarkStart w:id="117" w:name="_Toc18470"/>
      <w:r>
        <w:rPr>
          <w:rFonts w:hint="eastAsia" w:ascii="宋体" w:hAnsi="宋体" w:eastAsia="宋体" w:cs="宋体"/>
          <w:lang w:val="en-US" w:eastAsia="zh-CN"/>
        </w:rPr>
        <w:t>2.12 内部结算与财务公示台账</w:t>
      </w:r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tbl>
      <w:tblPr>
        <w:tblStyle w:val="10"/>
        <w:tblW w:w="148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2476"/>
        <w:gridCol w:w="1980"/>
        <w:gridCol w:w="2340"/>
        <w:gridCol w:w="2440"/>
        <w:gridCol w:w="49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68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</w:rPr>
              <w:t>序号</w:t>
            </w:r>
          </w:p>
        </w:tc>
        <w:tc>
          <w:tcPr>
            <w:tcW w:w="2476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事项</w:t>
            </w:r>
          </w:p>
        </w:tc>
        <w:tc>
          <w:tcPr>
            <w:tcW w:w="198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关键日期/周期</w:t>
            </w:r>
          </w:p>
        </w:tc>
        <w:tc>
          <w:tcPr>
            <w:tcW w:w="234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负责岗位</w:t>
            </w:r>
          </w:p>
        </w:tc>
        <w:tc>
          <w:tcPr>
            <w:tcW w:w="244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公示/提交对象</w:t>
            </w:r>
          </w:p>
        </w:tc>
        <w:tc>
          <w:tcPr>
            <w:tcW w:w="4920" w:type="dxa"/>
            <w:shd w:val="clear" w:color="auto" w:fill="E3F2D9" w:themeFill="accent4" w:themeFillTint="3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18"/>
                <w:szCs w:val="18"/>
                <w:vertAlign w:val="baseline"/>
                <w:lang w:val="en-US" w:eastAsia="zh-CN" w:bidi="ar-SA"/>
              </w:rPr>
              <w:t>公示位置/方式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47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专项维修资金使用情况公示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 xml:space="preserve">按次 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项目主任</w:t>
            </w:r>
          </w:p>
        </w:tc>
        <w:tc>
          <w:tcPr>
            <w:tcW w:w="2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涉及业主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公告栏、单元大堂、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线上平台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47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年度小区公共收益表公示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每年一次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项目主任</w:t>
            </w:r>
          </w:p>
        </w:tc>
        <w:tc>
          <w:tcPr>
            <w:tcW w:w="2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全体业主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公告栏、单元大堂、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线上平台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47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公共收益支出维修项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 xml:space="preserve">按次 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项目主任</w:t>
            </w:r>
          </w:p>
        </w:tc>
        <w:tc>
          <w:tcPr>
            <w:tcW w:w="2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全体业主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18"/>
                <w:szCs w:val="18"/>
                <w:vertAlign w:val="baseline"/>
                <w:lang w:val="en-US" w:eastAsia="zh-CN"/>
              </w:rPr>
              <w:t>公告栏、单元大堂、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vertAlign w:val="baseline"/>
                <w:lang w:val="en-US" w:eastAsia="zh-CN" w:bidi="ar-SA"/>
              </w:rPr>
              <w:t>线上平台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7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7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19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3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24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  <w:tc>
          <w:tcPr>
            <w:tcW w:w="49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t>无</w:t>
            </w:r>
          </w:p>
        </w:tc>
      </w:tr>
    </w:tbl>
    <w:p>
      <w:pPr>
        <w:pStyle w:val="2"/>
        <w:rPr>
          <w:rFonts w:hint="default"/>
          <w:lang w:val="en-US" w:eastAsia="zh-CN"/>
        </w:rPr>
      </w:pPr>
    </w:p>
    <w:sectPr>
      <w:pgSz w:w="16838" w:h="11906" w:orient="landscape"/>
      <w:pgMar w:top="1134" w:right="1134" w:bottom="1134" w:left="1134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8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lNzI3MzAwZTZkOTY1NzFiMmVhNzc1NTAxZWU5NjEifQ=="/>
  </w:docVars>
  <w:rsids>
    <w:rsidRoot w:val="44F33EFD"/>
    <w:rsid w:val="006D0CE9"/>
    <w:rsid w:val="022319D8"/>
    <w:rsid w:val="02682ADC"/>
    <w:rsid w:val="035B3E29"/>
    <w:rsid w:val="069F642C"/>
    <w:rsid w:val="06B4338F"/>
    <w:rsid w:val="076A1FC0"/>
    <w:rsid w:val="07EF285F"/>
    <w:rsid w:val="081656D6"/>
    <w:rsid w:val="08922920"/>
    <w:rsid w:val="095732ED"/>
    <w:rsid w:val="0A27715D"/>
    <w:rsid w:val="0A5C6159"/>
    <w:rsid w:val="12794A76"/>
    <w:rsid w:val="175A4A18"/>
    <w:rsid w:val="18D41B24"/>
    <w:rsid w:val="1930543F"/>
    <w:rsid w:val="1B472516"/>
    <w:rsid w:val="1B916D1E"/>
    <w:rsid w:val="1C2A5889"/>
    <w:rsid w:val="1F5C2318"/>
    <w:rsid w:val="20E0034C"/>
    <w:rsid w:val="219731B9"/>
    <w:rsid w:val="272E3C75"/>
    <w:rsid w:val="29C13FA1"/>
    <w:rsid w:val="2D501BC7"/>
    <w:rsid w:val="2E1D7A5E"/>
    <w:rsid w:val="2E5A33D0"/>
    <w:rsid w:val="2EB07E70"/>
    <w:rsid w:val="3094583F"/>
    <w:rsid w:val="312B2B43"/>
    <w:rsid w:val="31B17F9E"/>
    <w:rsid w:val="366F2221"/>
    <w:rsid w:val="3B95208E"/>
    <w:rsid w:val="3BB60701"/>
    <w:rsid w:val="3C300E6C"/>
    <w:rsid w:val="3E6377AB"/>
    <w:rsid w:val="3ED4712A"/>
    <w:rsid w:val="3F8E461B"/>
    <w:rsid w:val="40261761"/>
    <w:rsid w:val="41202554"/>
    <w:rsid w:val="41D872F3"/>
    <w:rsid w:val="43A90DE6"/>
    <w:rsid w:val="44D81A54"/>
    <w:rsid w:val="44F33EFD"/>
    <w:rsid w:val="46364CA7"/>
    <w:rsid w:val="49F0089B"/>
    <w:rsid w:val="4B3F45FD"/>
    <w:rsid w:val="4E6F59F8"/>
    <w:rsid w:val="50C51F13"/>
    <w:rsid w:val="50F10148"/>
    <w:rsid w:val="53C635FD"/>
    <w:rsid w:val="542100EF"/>
    <w:rsid w:val="55626354"/>
    <w:rsid w:val="55A1102D"/>
    <w:rsid w:val="55AA2FBB"/>
    <w:rsid w:val="56EB2E3A"/>
    <w:rsid w:val="584D3323"/>
    <w:rsid w:val="58CE17F6"/>
    <w:rsid w:val="59326102"/>
    <w:rsid w:val="5B9333DF"/>
    <w:rsid w:val="5C0A167D"/>
    <w:rsid w:val="5DD047C5"/>
    <w:rsid w:val="5DE95136"/>
    <w:rsid w:val="5F27742B"/>
    <w:rsid w:val="5FBC4017"/>
    <w:rsid w:val="610B3AC7"/>
    <w:rsid w:val="62A9142E"/>
    <w:rsid w:val="648563B2"/>
    <w:rsid w:val="64BF1080"/>
    <w:rsid w:val="681475E2"/>
    <w:rsid w:val="6AE85CC0"/>
    <w:rsid w:val="6B7553F4"/>
    <w:rsid w:val="6BC24B88"/>
    <w:rsid w:val="6BCB2B90"/>
    <w:rsid w:val="6C16685D"/>
    <w:rsid w:val="6C6C33B2"/>
    <w:rsid w:val="6F9705A3"/>
    <w:rsid w:val="74DC4D03"/>
    <w:rsid w:val="75C0471D"/>
    <w:rsid w:val="775A7A6C"/>
    <w:rsid w:val="77B53191"/>
    <w:rsid w:val="79992C0C"/>
    <w:rsid w:val="7B7C102C"/>
    <w:rsid w:val="7B933932"/>
    <w:rsid w:val="7C05459C"/>
    <w:rsid w:val="7CD31899"/>
    <w:rsid w:val="7E58641B"/>
    <w:rsid w:val="7E9F1EA7"/>
    <w:rsid w:val="7F9F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9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next w:val="1"/>
    <w:autoRedefine/>
    <w:qFormat/>
    <w:uiPriority w:val="0"/>
    <w:pPr>
      <w:spacing w:after="120" w:afterLines="0" w:afterAutospacing="0" w:line="480" w:lineRule="auto"/>
    </w:pPr>
  </w:style>
  <w:style w:type="paragraph" w:styleId="5">
    <w:name w:val="toc 3"/>
    <w:basedOn w:val="1"/>
    <w:next w:val="1"/>
    <w:autoRedefine/>
    <w:qFormat/>
    <w:uiPriority w:val="0"/>
    <w:pPr>
      <w:ind w:left="840" w:leftChars="400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2"/>
    <w:basedOn w:val="1"/>
    <w:next w:val="1"/>
    <w:autoRedefine/>
    <w:qFormat/>
    <w:uiPriority w:val="0"/>
    <w:pPr>
      <w:ind w:left="420" w:leftChars="200"/>
    </w:pPr>
  </w:style>
  <w:style w:type="table" w:styleId="10">
    <w:name w:val="Table Grid"/>
    <w:basedOn w:val="9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font11"/>
    <w:basedOn w:val="11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3">
    <w:name w:val="font41"/>
    <w:basedOn w:val="11"/>
    <w:autoRedefine/>
    <w:qFormat/>
    <w:uiPriority w:val="0"/>
    <w:rPr>
      <w:rFonts w:ascii="Calibri" w:hAnsi="Calibri" w:cs="Calibri"/>
      <w:color w:val="000000"/>
      <w:sz w:val="18"/>
      <w:szCs w:val="18"/>
      <w:u w:val="none"/>
    </w:rPr>
  </w:style>
  <w:style w:type="character" w:customStyle="1" w:styleId="14">
    <w:name w:val="font31"/>
    <w:basedOn w:val="11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5">
    <w:name w:val="font21"/>
    <w:basedOn w:val="11"/>
    <w:autoRedefine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6">
    <w:name w:val="font51"/>
    <w:basedOn w:val="11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306</Words>
  <Characters>348</Characters>
  <Lines>0</Lines>
  <Paragraphs>0</Paragraphs>
  <TotalTime>11</TotalTime>
  <ScaleCrop>false</ScaleCrop>
  <LinksUpToDate>false</LinksUpToDate>
  <CharactersWithSpaces>374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2026-02-23T10:21:00Z</dcterms:created>
  <dc:creator>千米</dc:creator>
  <cp:lastModifiedBy>随玉而安</cp:lastModifiedBy>
  <dcterms:modified xsi:type="dcterms:W3CDTF">2026-04-21T02:02:18Z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A5CA5AAED5584491A8316DA1B24DE9C0_13</vt:lpwstr>
  </property>
  <property fmtid="{D5CDD505-2E9C-101B-9397-08002B2CF9AE}" pid="4" name="KSOTemplateDocerSaveRecord">
    <vt:lpwstr>eyJoZGlkIjoiM2NmZTI3Njk1ZGQ5ZGJhNjYwNDRlOWVhZWQ3Y2RhOWIiLCJ1c2VySWQiOiIxNTg2NzE2NTg4In0=</vt:lpwstr>
  </property>
</Properties>
</file>