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8"/>
          <w:szCs w:val="48"/>
        </w:rPr>
        <w:t xml:space="preserve">Financial Operating Reference</w:t>
      </w:r>
    </w:p>
    <w:p>
      <w:pPr>
        <w:spacing w:after="80"/>
      </w:pPr>
      <w:r>
        <w:rPr>
          <w:rFonts w:ascii="Arial" w:cs="Arial" w:eastAsia="Arial" w:hAnsi="Arial"/>
          <w:color w:val="2E74B5"/>
          <w:sz w:val="32"/>
          <w:szCs w:val="32"/>
        </w:rPr>
        <w:t xml:space="preserve">Change Memo:  v2.2  →  v2.3</w:t>
      </w:r>
    </w:p>
    <w:p>
      <w:pPr>
        <w:spacing w:after="60"/>
      </w:pPr>
      <w:r>
        <w:rPr>
          <w:rFonts w:ascii="Arial" w:cs="Arial" w:eastAsia="Arial" w:hAnsi="Arial"/>
          <w:b/>
          <w:bCs/>
          <w:sz w:val="22"/>
          <w:szCs w:val="22"/>
        </w:rPr>
        <w:t xml:space="preserve">Prepared by:  </w:t>
      </w:r>
      <w:r>
        <w:rPr>
          <w:rFonts w:ascii="Arial" w:cs="Arial" w:eastAsia="Arial" w:hAnsi="Arial"/>
          <w:sz w:val="22"/>
          <w:szCs w:val="22"/>
        </w:rPr>
        <w:t xml:space="preserve">Adam Herndon</w:t>
      </w:r>
      <w:r>
        <w:rPr>
          <w:rFonts w:ascii="Arial" w:cs="Arial" w:eastAsia="Arial" w:hAnsi="Arial"/>
          <w:color w:val="AAAAAA"/>
          <w:sz w:val="22"/>
          <w:szCs w:val="22"/>
        </w:rPr>
        <w:t xml:space="preserve">   |   </w:t>
      </w:r>
      <w:r>
        <w:rPr>
          <w:rFonts w:ascii="Arial" w:cs="Arial" w:eastAsia="Arial" w:hAnsi="Arial"/>
          <w:b/>
          <w:bCs/>
          <w:sz w:val="22"/>
          <w:szCs w:val="22"/>
        </w:rPr>
        <w:t xml:space="preserve">Week:  </w:t>
      </w:r>
      <w:r>
        <w:rPr>
          <w:rFonts w:ascii="Arial" w:cs="Arial" w:eastAsia="Arial" w:hAnsi="Arial"/>
          <w:sz w:val="22"/>
          <w:szCs w:val="22"/>
        </w:rPr>
        <w:t xml:space="preserve">Wk 24 (Jun 8 – 14, 2026)</w:t>
      </w:r>
    </w:p>
    <w:p>
      <w:pPr>
        <w:spacing w:after="60"/>
      </w:pPr>
      <w:r>
        <w:rPr>
          <w:rFonts w:ascii="Arial" w:cs="Arial" w:eastAsia="Arial" w:hAnsi="Arial"/>
          <w:b/>
          <w:bCs/>
          <w:sz w:val="22"/>
          <w:szCs w:val="22"/>
        </w:rPr>
        <w:t xml:space="preserve">Status:  </w:t>
      </w:r>
      <w:r>
        <w:rPr>
          <w:rFonts w:ascii="Arial" w:cs="Arial" w:eastAsia="Arial" w:hAnsi="Arial"/>
          <w:i/>
          <w:iCs/>
          <w:color w:val="666666"/>
          <w:sz w:val="22"/>
          <w:szCs w:val="22"/>
        </w:rPr>
        <w:t xml:space="preserve">Draft — pending review and incorporation into living document</w:t>
      </w:r>
    </w:p>
    <w:p>
      <w:pPr>
        <w:pBdr>
          <w:bottom w:val="single" w:color="2E74B5" w:sz="4" w:space="1"/>
        </w:pBdr>
        <w:spacing w:after="200"/>
      </w:pPr>
      <w:r>
        <w:t xml:space="preserve"/>
      </w:r>
    </w:p>
    <w:p>
      <w:pPr>
        <w:pStyle w:val="Heading1"/>
      </w:pPr>
      <w:r>
        <w:rPr>
          <w:rFonts w:ascii="Arial" w:cs="Arial" w:eastAsia="Arial" w:hAnsi="Arial"/>
          <w:b/>
          <w:bCs/>
          <w:color w:val="1F3864"/>
          <w:sz w:val="28"/>
          <w:szCs w:val="28"/>
        </w:rPr>
        <w:t xml:space="preserve">Purpose</w:t>
      </w:r>
    </w:p>
    <w:p>
      <w:pPr>
        <w:spacing w:after="120"/>
      </w:pPr>
      <w:r>
        <w:rPr>
          <w:rFonts w:ascii="Arial" w:cs="Arial" w:eastAsia="Arial" w:hAnsi="Arial"/>
          <w:sz w:val="22"/>
          <w:szCs w:val="22"/>
        </w:rPr>
        <w:t xml:space="preserve">This memo captures all changes that must be applied to the Financial Operating Reference when advancing from version 2.2 to 2.3. Changes stem from Phase 4 dashboard work completed in Wk 23–24 of 2026, including goal waterfall restructuring, Jabian reimbursement timing correction, and Feature Wishlist reorganization.</w:t>
      </w:r>
    </w:p>
    <w:p>
      <w:pPr>
        <w:spacing w:after="120"/>
      </w:pPr>
      <w:r>
        <w:rPr>
          <w:rFonts w:ascii="Arial" w:cs="Arial" w:eastAsia="Arial" w:hAnsi="Arial"/>
          <w:sz w:val="22"/>
          <w:szCs w:val="22"/>
        </w:rPr>
        <w:t xml:space="preserve">No edits have been made to the Google Doc source yet. This memo is the input to that edit pass.</w:t>
      </w:r>
    </w:p>
    <w:p>
      <w:pPr>
        <w:spacing w:after="120"/>
      </w:pPr>
      <w:r>
        <w:t xml:space="preserve"/>
      </w:r>
    </w:p>
    <w:p>
      <w:pPr>
        <w:pStyle w:val="Heading1"/>
      </w:pPr>
      <w:r>
        <w:rPr>
          <w:rFonts w:ascii="Arial" w:cs="Arial" w:eastAsia="Arial" w:hAnsi="Arial"/>
          <w:b/>
          <w:bCs/>
          <w:color w:val="1F3864"/>
          <w:sz w:val="28"/>
          <w:szCs w:val="28"/>
        </w:rPr>
        <w:t xml:space="preserve">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Section</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Required</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Part 2 — Dashboard Overview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Phase 4 feature summary: 10-goal waterfall, IRA/529 gate (ira_cpa_cleared flag), Priorities tab, Funding Plan tab.</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Phase 4 is complete. Document currently lacks any description of what was built.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Throughout — Terminology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all instances of "Retirement rebuild" with "AMEX Savings — IRA + 529s" (the live dashboard label).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Label was changed to better reflect that both IRA and 529 accounts are funded through AMEX Savings. Six locations updated in dashboard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Part 7 or Part 18 — Jabian Reimbursements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Jabian reimbursement review fires on 22nd Adam paycheck weeks (Wk 7, 11, 16, 20, 24, 29). Distinct from LevelUp qualifying weeks (Wk 5, 9, 14, 18, 22, 27, 31).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Was incorrectly coded as 7th paycheck weeks. Corrected in dashboard. Now needs to match the doc.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Part 11 — Goal Waterfall Order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the 10-goal cascade order: alaska → RCCL → DCL → adam_ira → wendy_ira → bailey_529 → bryce_529 → preston_529 → bryce_vehicle → christmas_cruise. IRA/529 goals gated by ira_cpa_cleared flag.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Waterfall is now fully operational in the dashboard. The doc does not yet reflect the 10-goal structure or the IRA gate mechanism.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Part 19 — Journal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Wk 23–24 entries: (1) Phase 4 dashboard feature completion — 10-goal waterfall, Funding Plan tab, Priorities tab. (2) Feature Wishlist reorganization — Phase 4 Planned cleared, items promoted to Phase 5; Authentication deferred to Phase 6.</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Journal entries are the running record of what changed and when.</w:t>
            </w:r>
          </w:p>
        </w:tc>
      </w:tr>
    </w:tbl>
    <w:p>
      <w:pPr>
        <w:spacing w:after="120"/>
      </w:pPr>
      <w:r>
        <w:t xml:space="preserve"/>
      </w:r>
    </w:p>
    <w:p>
      <w:pPr>
        <w:pBdr>
          <w:bottom w:val="single" w:color="2E74B5" w:sz="4" w:space="1"/>
        </w:pBdr>
        <w:spacing w:after="200"/>
      </w:pPr>
      <w:r>
        <w:t xml:space="preserve"/>
      </w:r>
    </w:p>
    <w:p>
      <w:pPr>
        <w:pStyle w:val="Heading1"/>
      </w:pPr>
      <w:r>
        <w:rPr>
          <w:rFonts w:ascii="Arial" w:cs="Arial" w:eastAsia="Arial" w:hAnsi="Arial"/>
          <w:b/>
          <w:bCs/>
          <w:color w:val="1F3864"/>
          <w:sz w:val="28"/>
          <w:szCs w:val="28"/>
        </w:rPr>
        <w:t xml:space="preserve">Change Details</w:t>
      </w:r>
    </w:p>
    <w:p>
      <w:pPr>
        <w:pStyle w:val="Heading2"/>
      </w:pPr>
      <w:r>
        <w:rPr>
          <w:rFonts w:ascii="Arial" w:cs="Arial" w:eastAsia="Arial" w:hAnsi="Arial"/>
          <w:b/>
          <w:bCs/>
          <w:color w:val="2E74B5"/>
          <w:sz w:val="24"/>
          <w:szCs w:val="24"/>
        </w:rPr>
        <w:t xml:space="preserve">1  |  Part 2 — Dashboard Phase 4 Feature Summary</w:t>
      </w:r>
    </w:p>
    <w:p>
      <w:pPr>
        <w:spacing w:after="60"/>
      </w:pPr>
      <w:r>
        <w:rPr>
          <w:rFonts w:ascii="Arial" w:cs="Arial" w:eastAsia="Arial" w:hAnsi="Arial"/>
          <w:b/>
          <w:bCs/>
          <w:sz w:val="22"/>
          <w:szCs w:val="22"/>
        </w:rPr>
        <w:t xml:space="preserve">Action:</w:t>
      </w:r>
    </w:p>
    <w:p>
      <w:pPr>
        <w:spacing w:after="120"/>
      </w:pPr>
      <w:r>
        <w:rPr>
          <w:rFonts w:ascii="Arial" w:cs="Arial" w:eastAsia="Arial" w:hAnsi="Arial"/>
          <w:sz w:val="22"/>
          <w:szCs w:val="22"/>
        </w:rPr>
        <w:t xml:space="preserve">Add a new subsection or expand the existing dashboard description to cover Phase 4 deliverables.</w:t>
      </w:r>
    </w:p>
    <w:p>
      <w:pPr>
        <w:spacing w:after="60"/>
      </w:pPr>
      <w:r>
        <w:rPr>
          <w:rFonts w:ascii="Arial" w:cs="Arial" w:eastAsia="Arial" w:hAnsi="Arial"/>
          <w:b/>
          <w:bCs/>
          <w:sz w:val="22"/>
          <w:szCs w:val="22"/>
        </w:rPr>
        <w:t xml:space="preserve">Content to add:</w:t>
      </w:r>
    </w:p>
    <w:p>
      <w:pPr>
        <w:pStyle w:val="ListParagraph"/>
        <w:numPr>
          <w:ilvl w:val="0"/>
          <w:numId w:val="2"/>
        </w:numPr>
        <w:spacing w:after="80"/>
      </w:pPr>
      <w:r>
        <w:rPr>
          <w:rFonts w:ascii="Arial" w:cs="Arial" w:eastAsia="Arial" w:hAnsi="Arial"/>
          <w:sz w:val="22"/>
          <w:szCs w:val="22"/>
        </w:rPr>
        <w:t xml:space="preserve">10-goal waterfall: Goals are funded in priority order from available surplus cash. The cascade order is alaska, RCCL, DCL, adam_ira, wendy_ira, bailey_529, bryce_529, preston_529, bryce_vehicle, christmas_cruise.</w:t>
      </w:r>
    </w:p>
    <w:p>
      <w:pPr>
        <w:pStyle w:val="ListParagraph"/>
        <w:numPr>
          <w:ilvl w:val="0"/>
          <w:numId w:val="2"/>
        </w:numPr>
        <w:spacing w:after="80"/>
      </w:pPr>
      <w:r>
        <w:rPr>
          <w:rFonts w:ascii="Arial" w:cs="Arial" w:eastAsia="Arial" w:hAnsi="Arial"/>
          <w:sz w:val="22"/>
          <w:szCs w:val="22"/>
        </w:rPr>
        <w:t xml:space="preserve">IRA/529 gate: IRA and 529 goals (adam_ira through bryce_vehicle) are locked behind a boolean flag (ira_cpa_cleared). When false, surplus skips those goals and flows to christmas_cruise instead.</w:t>
      </w:r>
    </w:p>
    <w:p>
      <w:pPr>
        <w:pStyle w:val="ListParagraph"/>
        <w:numPr>
          <w:ilvl w:val="0"/>
          <w:numId w:val="2"/>
        </w:numPr>
        <w:spacing w:after="80"/>
      </w:pPr>
      <w:r>
        <w:rPr>
          <w:rFonts w:ascii="Arial" w:cs="Arial" w:eastAsia="Arial" w:hAnsi="Arial"/>
          <w:sz w:val="22"/>
          <w:szCs w:val="22"/>
        </w:rPr>
        <w:t xml:space="preserve">Priorities tab: Displays goal waterfall with current funding status, projected completion week (in calendar week numbers), and surplus allocation per week.</w:t>
      </w:r>
    </w:p>
    <w:p>
      <w:pPr>
        <w:pStyle w:val="ListParagraph"/>
        <w:numPr>
          <w:ilvl w:val="0"/>
          <w:numId w:val="2"/>
        </w:numPr>
        <w:spacing w:after="80"/>
      </w:pPr>
      <w:r>
        <w:rPr>
          <w:rFonts w:ascii="Arial" w:cs="Arial" w:eastAsia="Arial" w:hAnsi="Arial"/>
          <w:sz w:val="22"/>
          <w:szCs w:val="22"/>
        </w:rPr>
        <w:t xml:space="preserve">Funding Plan tab: 31-week cash flow projection from Wk 23 to Wk 53, showing goal milestones week by week.</w:t>
      </w:r>
    </w:p>
    <w:p>
      <w:pPr>
        <w:spacing w:after="120"/>
      </w:pPr>
      <w:r>
        <w:t xml:space="preserve"/>
      </w:r>
    </w:p>
    <w:p>
      <w:pPr>
        <w:pStyle w:val="Heading2"/>
      </w:pPr>
      <w:r>
        <w:rPr>
          <w:rFonts w:ascii="Arial" w:cs="Arial" w:eastAsia="Arial" w:hAnsi="Arial"/>
          <w:b/>
          <w:bCs/>
          <w:color w:val="2E74B5"/>
          <w:sz w:val="24"/>
          <w:szCs w:val="24"/>
        </w:rPr>
        <w:t xml:space="preserve">2  |  Throughout — Terminology: "Retirement rebuild" → "AMEX Savings — IRA + 529s"</w:t>
      </w:r>
    </w:p>
    <w:p>
      <w:pPr>
        <w:spacing w:after="60"/>
      </w:pPr>
      <w:r>
        <w:rPr>
          <w:rFonts w:ascii="Arial" w:cs="Arial" w:eastAsia="Arial" w:hAnsi="Arial"/>
          <w:b/>
          <w:bCs/>
          <w:sz w:val="22"/>
          <w:szCs w:val="22"/>
        </w:rPr>
        <w:t xml:space="preserve">Action:</w:t>
      </w:r>
    </w:p>
    <w:p>
      <w:pPr>
        <w:spacing w:after="120"/>
      </w:pPr>
      <w:r>
        <w:rPr>
          <w:rFonts w:ascii="Arial" w:cs="Arial" w:eastAsia="Arial" w:hAnsi="Arial"/>
          <w:sz w:val="22"/>
          <w:szCs w:val="22"/>
        </w:rPr>
        <w:t xml:space="preserve">Global find-and-replace across the entire document.</w:t>
      </w:r>
    </w:p>
    <w:p>
      <w:pPr>
        <w:spacing w:after="60"/>
      </w:pPr>
      <w:r>
        <w:rPr>
          <w:rFonts w:ascii="Arial" w:cs="Arial" w:eastAsia="Arial" w:hAnsi="Arial"/>
          <w:b/>
          <w:bCs/>
          <w:sz w:val="22"/>
          <w:szCs w:val="22"/>
        </w:rPr>
        <w:t xml:space="preserve">Old term:</w:t>
      </w:r>
    </w:p>
    <w:p>
      <w:pPr>
        <w:spacing w:after="120"/>
      </w:pPr>
      <w:r>
        <w:rPr>
          <w:rFonts w:ascii="Arial" w:cs="Arial" w:eastAsia="Arial" w:hAnsi="Arial"/>
          <w:sz w:val="22"/>
          <w:szCs w:val="22"/>
        </w:rPr>
        <w:t xml:space="preserve">Retirement rebuild</w:t>
      </w:r>
    </w:p>
    <w:p>
      <w:pPr>
        <w:spacing w:after="60"/>
      </w:pPr>
      <w:r>
        <w:rPr>
          <w:rFonts w:ascii="Arial" w:cs="Arial" w:eastAsia="Arial" w:hAnsi="Arial"/>
          <w:b/>
          <w:bCs/>
          <w:sz w:val="22"/>
          <w:szCs w:val="22"/>
        </w:rPr>
        <w:t xml:space="preserve">New term:</w:t>
      </w:r>
    </w:p>
    <w:p>
      <w:pPr>
        <w:spacing w:after="120"/>
      </w:pPr>
      <w:r>
        <w:rPr>
          <w:rFonts w:ascii="Arial" w:cs="Arial" w:eastAsia="Arial" w:hAnsi="Arial"/>
          <w:sz w:val="22"/>
          <w:szCs w:val="22"/>
        </w:rPr>
        <w:t xml:space="preserve">AMEX Savings — IRA + 529s</w:t>
      </w:r>
    </w:p>
    <w:p>
      <w:pPr>
        <w:spacing w:after="60"/>
      </w:pPr>
      <w:r>
        <w:rPr>
          <w:rFonts w:ascii="Arial" w:cs="Arial" w:eastAsia="Arial" w:hAnsi="Arial"/>
          <w:b/>
          <w:bCs/>
          <w:sz w:val="22"/>
          <w:szCs w:val="22"/>
        </w:rPr>
        <w:t xml:space="preserve">Context:</w:t>
      </w:r>
    </w:p>
    <w:p>
      <w:pPr>
        <w:spacing w:after="120"/>
      </w:pPr>
      <w:r>
        <w:rPr>
          <w:rFonts w:ascii="Arial" w:cs="Arial" w:eastAsia="Arial" w:hAnsi="Arial"/>
          <w:sz w:val="22"/>
          <w:szCs w:val="22"/>
        </w:rPr>
        <w:t xml:space="preserve">The original label assumed the only use of AMEX Savings was IRA rebuilding after market drawdown. The current goal also funds 529 college savings accounts for Bailey, Bryce, and Preston. Six locations in the dashboard code were updated in Wk 23.</w:t>
      </w:r>
    </w:p>
    <w:p>
      <w:pPr>
        <w:spacing w:after="120"/>
      </w:pPr>
      <w:r>
        <w:t xml:space="preserve"/>
      </w:r>
    </w:p>
    <w:p>
      <w:pPr>
        <w:pStyle w:val="Heading2"/>
      </w:pPr>
      <w:r>
        <w:rPr>
          <w:rFonts w:ascii="Arial" w:cs="Arial" w:eastAsia="Arial" w:hAnsi="Arial"/>
          <w:b/>
          <w:bCs/>
          <w:color w:val="2E74B5"/>
          <w:sz w:val="24"/>
          <w:szCs w:val="24"/>
        </w:rPr>
        <w:t xml:space="preserve">3  |  Part 7 or Part 18 — Jabian Reimbursement Review Timing</w:t>
      </w:r>
    </w:p>
    <w:p>
      <w:pPr>
        <w:spacing w:after="60"/>
      </w:pPr>
      <w:r>
        <w:rPr>
          <w:rFonts w:ascii="Arial" w:cs="Arial" w:eastAsia="Arial" w:hAnsi="Arial"/>
          <w:b/>
          <w:bCs/>
          <w:sz w:val="22"/>
          <w:szCs w:val="22"/>
        </w:rPr>
        <w:t xml:space="preserve">Action:</w:t>
      </w:r>
    </w:p>
    <w:p>
      <w:pPr>
        <w:spacing w:after="120"/>
      </w:pPr>
      <w:r>
        <w:rPr>
          <w:rFonts w:ascii="Arial" w:cs="Arial" w:eastAsia="Arial" w:hAnsi="Arial"/>
          <w:sz w:val="22"/>
          <w:szCs w:val="22"/>
        </w:rPr>
        <w:t xml:space="preserve">Add or correct a rule governing when to review Jabian expense reimbursements.</w:t>
      </w:r>
    </w:p>
    <w:p>
      <w:pPr>
        <w:spacing w:after="60"/>
      </w:pPr>
      <w:r>
        <w:rPr>
          <w:rFonts w:ascii="Arial" w:cs="Arial" w:eastAsia="Arial" w:hAnsi="Arial"/>
          <w:b/>
          <w:bCs/>
          <w:sz w:val="22"/>
          <w:szCs w:val="22"/>
        </w:rPr>
        <w:t xml:space="preserve">Correct rule:</w:t>
      </w:r>
    </w:p>
    <w:p>
      <w:pPr>
        <w:spacing w:after="120"/>
      </w:pPr>
      <w:r>
        <w:rPr>
          <w:rFonts w:ascii="Arial" w:cs="Arial" w:eastAsia="Arial" w:hAnsi="Arial"/>
          <w:sz w:val="22"/>
          <w:szCs w:val="22"/>
        </w:rPr>
        <w:t xml:space="preserve">Jabian reimbursement review fires on the 22nd Adam paycheck weeks: Wk 7, Wk 11, Wk 16, Wk 20, Wk 24, Wk 29 (six reviews across the 31-week model).</w:t>
      </w:r>
    </w:p>
    <w:p>
      <w:pPr>
        <w:spacing w:after="60"/>
      </w:pPr>
      <w:r>
        <w:rPr>
          <w:rFonts w:ascii="Arial" w:cs="Arial" w:eastAsia="Arial" w:hAnsi="Arial"/>
          <w:b/>
          <w:bCs/>
          <w:sz w:val="22"/>
          <w:szCs w:val="22"/>
        </w:rPr>
        <w:t xml:space="preserve">Distinction from LevelUp:</w:t>
      </w:r>
    </w:p>
    <w:p>
      <w:pPr>
        <w:spacing w:after="120"/>
      </w:pPr>
      <w:r>
        <w:rPr>
          <w:rFonts w:ascii="Arial" w:cs="Arial" w:eastAsia="Arial" w:hAnsi="Arial"/>
          <w:sz w:val="22"/>
          <w:szCs w:val="22"/>
        </w:rPr>
        <w:t xml:space="preserve">LevelUp qualifying weeks fire on 7th Adam paycheck weeks: Wk 5, Wk 9, Wk 14, Wk 18, Wk 22, Wk 27, Wk 31. These are separate events on separate paycheck dates and must not be conflated.</w:t>
      </w:r>
    </w:p>
    <w:p>
      <w:pPr>
        <w:spacing w:after="60"/>
      </w:pPr>
      <w:r>
        <w:rPr>
          <w:rFonts w:ascii="Arial" w:cs="Arial" w:eastAsia="Arial" w:hAnsi="Arial"/>
          <w:b/>
          <w:bCs/>
          <w:sz w:val="22"/>
          <w:szCs w:val="22"/>
        </w:rPr>
        <w:t xml:space="preserve">What was wrong:</w:t>
      </w:r>
    </w:p>
    <w:p>
      <w:pPr>
        <w:spacing w:after="120"/>
      </w:pPr>
      <w:r>
        <w:rPr>
          <w:rFonts w:ascii="Arial" w:cs="Arial" w:eastAsia="Arial" w:hAnsi="Arial"/>
          <w:sz w:val="22"/>
          <w:szCs w:val="22"/>
        </w:rPr>
        <w:t xml:space="preserve">The dashboard was previously coded to trigger reimbursement reviews on the 7th paycheck weeks (same as LevelUp), which was incorrect. The 22nd paycheck is the correct date for Jabian reimbursements. Corrected in Wk 23 dashboard code.</w:t>
      </w:r>
    </w:p>
    <w:p>
      <w:pPr>
        <w:spacing w:after="120"/>
      </w:pPr>
      <w:r>
        <w:t xml:space="preserve"/>
      </w:r>
    </w:p>
    <w:p>
      <w:pPr>
        <w:pStyle w:val="Heading2"/>
      </w:pPr>
      <w:r>
        <w:rPr>
          <w:rFonts w:ascii="Arial" w:cs="Arial" w:eastAsia="Arial" w:hAnsi="Arial"/>
          <w:b/>
          <w:bCs/>
          <w:color w:val="2E74B5"/>
          <w:sz w:val="24"/>
          <w:szCs w:val="24"/>
        </w:rPr>
        <w:t xml:space="preserve">4  |  Part 11 — 10-Goal Waterfall Order and IRA Gate</w:t>
      </w:r>
    </w:p>
    <w:p>
      <w:pPr>
        <w:spacing w:after="60"/>
      </w:pPr>
      <w:r>
        <w:rPr>
          <w:rFonts w:ascii="Arial" w:cs="Arial" w:eastAsia="Arial" w:hAnsi="Arial"/>
          <w:b/>
          <w:bCs/>
          <w:sz w:val="22"/>
          <w:szCs w:val="22"/>
        </w:rPr>
        <w:t xml:space="preserve">Action:</w:t>
      </w:r>
    </w:p>
    <w:p>
      <w:pPr>
        <w:spacing w:after="120"/>
      </w:pPr>
      <w:r>
        <w:rPr>
          <w:rFonts w:ascii="Arial" w:cs="Arial" w:eastAsia="Arial" w:hAnsi="Arial"/>
          <w:sz w:val="22"/>
          <w:szCs w:val="22"/>
        </w:rPr>
        <w:t xml:space="preserve">Document the full 10-goal cascade order and the ira_cpa_cleared gating mechanism.</w:t>
      </w:r>
    </w:p>
    <w:p>
      <w:pPr>
        <w:spacing w:after="60"/>
      </w:pPr>
      <w:r>
        <w:rPr>
          <w:rFonts w:ascii="Arial" w:cs="Arial" w:eastAsia="Arial" w:hAnsi="Arial"/>
          <w:b/>
          <w:bCs/>
          <w:sz w:val="22"/>
          <w:szCs w:val="22"/>
        </w:rPr>
        <w:t xml:space="preserve">Goal waterfall order (priority 1 → 10):</w:t>
      </w:r>
    </w:p>
    <w:p>
      <w:pPr>
        <w:pStyle w:val="ListParagraph"/>
        <w:numPr>
          <w:ilvl w:val="0"/>
          <w:numId w:val="2"/>
        </w:numPr>
        <w:spacing w:after="80"/>
      </w:pPr>
      <w:r>
        <w:rPr>
          <w:rFonts w:ascii="Arial" w:cs="Arial" w:eastAsia="Arial" w:hAnsi="Arial"/>
          <w:sz w:val="22"/>
          <w:szCs w:val="22"/>
        </w:rPr>
        <w:t xml:space="preserve">1.  alaska — Alaska Airlines credit card payoff</w:t>
      </w:r>
    </w:p>
    <w:p>
      <w:pPr>
        <w:pStyle w:val="ListParagraph"/>
        <w:numPr>
          <w:ilvl w:val="0"/>
          <w:numId w:val="2"/>
        </w:numPr>
        <w:spacing w:after="80"/>
      </w:pPr>
      <w:r>
        <w:rPr>
          <w:rFonts w:ascii="Arial" w:cs="Arial" w:eastAsia="Arial" w:hAnsi="Arial"/>
          <w:sz w:val="22"/>
          <w:szCs w:val="22"/>
        </w:rPr>
        <w:t xml:space="preserve">2.  RCCL — Royal Caribbean cruise deposit / balance</w:t>
      </w:r>
    </w:p>
    <w:p>
      <w:pPr>
        <w:pStyle w:val="ListParagraph"/>
        <w:numPr>
          <w:ilvl w:val="0"/>
          <w:numId w:val="2"/>
        </w:numPr>
        <w:spacing w:after="80"/>
      </w:pPr>
      <w:r>
        <w:rPr>
          <w:rFonts w:ascii="Arial" w:cs="Arial" w:eastAsia="Arial" w:hAnsi="Arial"/>
          <w:sz w:val="22"/>
          <w:szCs w:val="22"/>
        </w:rPr>
        <w:t xml:space="preserve">3.  DCL — Disney Cruise Line deposit / balance</w:t>
      </w:r>
    </w:p>
    <w:p>
      <w:pPr>
        <w:pStyle w:val="ListParagraph"/>
        <w:numPr>
          <w:ilvl w:val="0"/>
          <w:numId w:val="2"/>
        </w:numPr>
        <w:spacing w:after="80"/>
      </w:pPr>
      <w:r>
        <w:rPr>
          <w:rFonts w:ascii="Arial" w:cs="Arial" w:eastAsia="Arial" w:hAnsi="Arial"/>
          <w:sz w:val="22"/>
          <w:szCs w:val="22"/>
        </w:rPr>
        <w:t xml:space="preserve">4.  adam_ira — Adam IRA contribution  [gated by ira_cpa_cleared]</w:t>
      </w:r>
    </w:p>
    <w:p>
      <w:pPr>
        <w:pStyle w:val="ListParagraph"/>
        <w:numPr>
          <w:ilvl w:val="0"/>
          <w:numId w:val="2"/>
        </w:numPr>
        <w:spacing w:after="80"/>
      </w:pPr>
      <w:r>
        <w:rPr>
          <w:rFonts w:ascii="Arial" w:cs="Arial" w:eastAsia="Arial" w:hAnsi="Arial"/>
          <w:sz w:val="22"/>
          <w:szCs w:val="22"/>
        </w:rPr>
        <w:t xml:space="preserve">5.  wendy_ira — Wendy IRA contribution  [gated by ira_cpa_cleared]</w:t>
      </w:r>
    </w:p>
    <w:p>
      <w:pPr>
        <w:pStyle w:val="ListParagraph"/>
        <w:numPr>
          <w:ilvl w:val="0"/>
          <w:numId w:val="2"/>
        </w:numPr>
        <w:spacing w:after="80"/>
      </w:pPr>
      <w:r>
        <w:rPr>
          <w:rFonts w:ascii="Arial" w:cs="Arial" w:eastAsia="Arial" w:hAnsi="Arial"/>
          <w:sz w:val="22"/>
          <w:szCs w:val="22"/>
        </w:rPr>
        <w:t xml:space="preserve">6.  bailey_529 — Bailey 529 contribution  [gated by ira_cpa_cleared]</w:t>
      </w:r>
    </w:p>
    <w:p>
      <w:pPr>
        <w:pStyle w:val="ListParagraph"/>
        <w:numPr>
          <w:ilvl w:val="0"/>
          <w:numId w:val="2"/>
        </w:numPr>
        <w:spacing w:after="80"/>
      </w:pPr>
      <w:r>
        <w:rPr>
          <w:rFonts w:ascii="Arial" w:cs="Arial" w:eastAsia="Arial" w:hAnsi="Arial"/>
          <w:sz w:val="22"/>
          <w:szCs w:val="22"/>
        </w:rPr>
        <w:t xml:space="preserve">7.  bryce_529 — Bryce 529 contribution  [gated by ira_cpa_cleared]</w:t>
      </w:r>
    </w:p>
    <w:p>
      <w:pPr>
        <w:pStyle w:val="ListParagraph"/>
        <w:numPr>
          <w:ilvl w:val="0"/>
          <w:numId w:val="2"/>
        </w:numPr>
        <w:spacing w:after="80"/>
      </w:pPr>
      <w:r>
        <w:rPr>
          <w:rFonts w:ascii="Arial" w:cs="Arial" w:eastAsia="Arial" w:hAnsi="Arial"/>
          <w:sz w:val="22"/>
          <w:szCs w:val="22"/>
        </w:rPr>
        <w:t xml:space="preserve">8.  preston_529 — Preston 529 contribution  [gated by ira_cpa_cleared]</w:t>
      </w:r>
    </w:p>
    <w:p>
      <w:pPr>
        <w:pStyle w:val="ListParagraph"/>
        <w:numPr>
          <w:ilvl w:val="0"/>
          <w:numId w:val="2"/>
        </w:numPr>
        <w:spacing w:after="80"/>
      </w:pPr>
      <w:r>
        <w:rPr>
          <w:rFonts w:ascii="Arial" w:cs="Arial" w:eastAsia="Arial" w:hAnsi="Arial"/>
          <w:sz w:val="22"/>
          <w:szCs w:val="22"/>
        </w:rPr>
        <w:t xml:space="preserve">9.  bryce_vehicle — Bryce vehicle savings  [gated by ira_cpa_cleared]</w:t>
      </w:r>
    </w:p>
    <w:p>
      <w:pPr>
        <w:pStyle w:val="ListParagraph"/>
        <w:numPr>
          <w:ilvl w:val="0"/>
          <w:numId w:val="2"/>
        </w:numPr>
        <w:spacing w:after="80"/>
      </w:pPr>
      <w:r>
        <w:rPr>
          <w:rFonts w:ascii="Arial" w:cs="Arial" w:eastAsia="Arial" w:hAnsi="Arial"/>
          <w:sz w:val="22"/>
          <w:szCs w:val="22"/>
        </w:rPr>
        <w:t xml:space="preserve">10. christmas_cruise — Holiday cruise / year-end savings</w:t>
      </w:r>
    </w:p>
    <w:p>
      <w:pPr>
        <w:spacing w:after="60"/>
      </w:pPr>
      <w:r>
        <w:rPr>
          <w:rFonts w:ascii="Arial" w:cs="Arial" w:eastAsia="Arial" w:hAnsi="Arial"/>
          <w:b/>
          <w:bCs/>
          <w:sz w:val="22"/>
          <w:szCs w:val="22"/>
        </w:rPr>
        <w:t xml:space="preserve">IRA gate rule:</w:t>
      </w:r>
    </w:p>
    <w:p>
      <w:pPr>
        <w:spacing w:after="120"/>
      </w:pPr>
      <w:r>
        <w:rPr>
          <w:rFonts w:ascii="Arial" w:cs="Arial" w:eastAsia="Arial" w:hAnsi="Arial"/>
          <w:sz w:val="22"/>
          <w:szCs w:val="22"/>
        </w:rPr>
        <w:t xml:space="preserve">When ira_cpa_cleared = false, surplus bypasses goals 4–9 (adam_ira through bryce_vehicle) and flows directly to christmas_cruise (goal 10). This gate exists because CPA confirmation is required before committing to IRA/529 contributions given the year’s income picture.</w:t>
      </w:r>
    </w:p>
    <w:p>
      <w:pPr>
        <w:spacing w:after="120"/>
      </w:pPr>
      <w:r>
        <w:t xml:space="preserve"/>
      </w:r>
    </w:p>
    <w:p>
      <w:pPr>
        <w:pStyle w:val="Heading2"/>
      </w:pPr>
      <w:r>
        <w:rPr>
          <w:rFonts w:ascii="Arial" w:cs="Arial" w:eastAsia="Arial" w:hAnsi="Arial"/>
          <w:b/>
          <w:bCs/>
          <w:color w:val="2E74B5"/>
          <w:sz w:val="24"/>
          <w:szCs w:val="24"/>
        </w:rPr>
        <w:t xml:space="preserve">5  |  Part 19 — Journal Entries (Wk 23–24, 2026)</w:t>
      </w:r>
    </w:p>
    <w:p>
      <w:pPr>
        <w:spacing w:after="60"/>
      </w:pPr>
      <w:r>
        <w:rPr>
          <w:rFonts w:ascii="Arial" w:cs="Arial" w:eastAsia="Arial" w:hAnsi="Arial"/>
          <w:b/>
          <w:bCs/>
          <w:sz w:val="22"/>
          <w:szCs w:val="22"/>
        </w:rPr>
        <w:t xml:space="preserve">Action:</w:t>
      </w:r>
    </w:p>
    <w:p>
      <w:pPr>
        <w:spacing w:after="120"/>
      </w:pPr>
      <w:r>
        <w:rPr>
          <w:rFonts w:ascii="Arial" w:cs="Arial" w:eastAsia="Arial" w:hAnsi="Arial"/>
          <w:sz w:val="22"/>
          <w:szCs w:val="22"/>
        </w:rPr>
        <w:t xml:space="preserve">Add two new journal entries to Part 19 (the running log).</w:t>
      </w:r>
    </w:p>
    <w:p>
      <w:pPr>
        <w:spacing w:after="60"/>
      </w:pPr>
      <w:r>
        <w:rPr>
          <w:rFonts w:ascii="Arial" w:cs="Arial" w:eastAsia="Arial" w:hAnsi="Arial"/>
          <w:b/>
          <w:bCs/>
          <w:sz w:val="22"/>
          <w:szCs w:val="22"/>
        </w:rPr>
        <w:t xml:space="preserve">Entry 1 — Wk 23 (Jun 1–7, 2026):  Phase 4 Dashboard Complete</w:t>
      </w:r>
    </w:p>
    <w:p>
      <w:pPr>
        <w:pStyle w:val="ListParagraph"/>
        <w:numPr>
          <w:ilvl w:val="0"/>
          <w:numId w:val="2"/>
        </w:numPr>
        <w:spacing w:after="80"/>
      </w:pPr>
      <w:r>
        <w:rPr>
          <w:rFonts w:ascii="Arial" w:cs="Arial" w:eastAsia="Arial" w:hAnsi="Arial"/>
          <w:sz w:val="22"/>
          <w:szCs w:val="22"/>
        </w:rPr>
        <w:t xml:space="preserve">10-goal waterfall fully operational. Goals fund in cascade order from surplus cash.</w:t>
      </w:r>
    </w:p>
    <w:p>
      <w:pPr>
        <w:pStyle w:val="ListParagraph"/>
        <w:numPr>
          <w:ilvl w:val="0"/>
          <w:numId w:val="2"/>
        </w:numPr>
        <w:spacing w:after="80"/>
      </w:pPr>
      <w:r>
        <w:rPr>
          <w:rFonts w:ascii="Arial" w:cs="Arial" w:eastAsia="Arial" w:hAnsi="Arial"/>
          <w:sz w:val="22"/>
          <w:szCs w:val="22"/>
        </w:rPr>
        <w:t xml:space="preserve">IRA/529 gate (ira_cpa_cleared) implemented and tested.</w:t>
      </w:r>
    </w:p>
    <w:p>
      <w:pPr>
        <w:pStyle w:val="ListParagraph"/>
        <w:numPr>
          <w:ilvl w:val="0"/>
          <w:numId w:val="2"/>
        </w:numPr>
        <w:spacing w:after="80"/>
      </w:pPr>
      <w:r>
        <w:rPr>
          <w:rFonts w:ascii="Arial" w:cs="Arial" w:eastAsia="Arial" w:hAnsi="Arial"/>
          <w:sz w:val="22"/>
          <w:szCs w:val="22"/>
        </w:rPr>
        <w:t xml:space="preserve">Priorities tab and Funding Plan tab added to dashboard.</w:t>
      </w:r>
    </w:p>
    <w:p>
      <w:pPr>
        <w:pStyle w:val="ListParagraph"/>
        <w:numPr>
          <w:ilvl w:val="0"/>
          <w:numId w:val="2"/>
        </w:numPr>
        <w:spacing w:after="80"/>
      </w:pPr>
      <w:r>
        <w:rPr>
          <w:rFonts w:ascii="Arial" w:cs="Arial" w:eastAsia="Arial" w:hAnsi="Arial"/>
          <w:sz w:val="22"/>
          <w:szCs w:val="22"/>
        </w:rPr>
        <w:t xml:space="preserve">All six "Retirement rebuild" label references replaced with "AMEX Savings — IRA + 529s".</w:t>
      </w:r>
    </w:p>
    <w:p>
      <w:pPr>
        <w:pStyle w:val="ListParagraph"/>
        <w:numPr>
          <w:ilvl w:val="0"/>
          <w:numId w:val="2"/>
        </w:numPr>
        <w:spacing w:after="80"/>
      </w:pPr>
      <w:r>
        <w:rPr>
          <w:rFonts w:ascii="Arial" w:cs="Arial" w:eastAsia="Arial" w:hAnsi="Arial"/>
          <w:sz w:val="22"/>
          <w:szCs w:val="22"/>
        </w:rPr>
        <w:t xml:space="preserve">Jabian reimbursement review timing corrected to 22nd paycheck weeks.</w:t>
      </w:r>
    </w:p>
    <w:p>
      <w:pPr>
        <w:spacing w:after="60"/>
      </w:pPr>
      <w:r>
        <w:rPr>
          <w:rFonts w:ascii="Arial" w:cs="Arial" w:eastAsia="Arial" w:hAnsi="Arial"/>
          <w:b/>
          <w:bCs/>
          <w:sz w:val="22"/>
          <w:szCs w:val="22"/>
        </w:rPr>
        <w:t xml:space="preserve">Entry 2 — Wk 24 (Jun 8–14, 2026):  Feature Wishlist Reorganization</w:t>
      </w:r>
    </w:p>
    <w:p>
      <w:pPr>
        <w:pStyle w:val="ListParagraph"/>
        <w:numPr>
          <w:ilvl w:val="0"/>
          <w:numId w:val="2"/>
        </w:numPr>
        <w:spacing w:after="80"/>
      </w:pPr>
      <w:r>
        <w:rPr>
          <w:rFonts w:ascii="Arial" w:cs="Arial" w:eastAsia="Arial" w:hAnsi="Arial"/>
          <w:sz w:val="22"/>
          <w:szCs w:val="22"/>
        </w:rPr>
        <w:t xml:space="preserve">Phase 4 Planned column cleared — all remaining planned items promoted to Phase 5.</w:t>
      </w:r>
    </w:p>
    <w:p>
      <w:pPr>
        <w:pStyle w:val="ListParagraph"/>
        <w:numPr>
          <w:ilvl w:val="0"/>
          <w:numId w:val="2"/>
        </w:numPr>
        <w:spacing w:after="80"/>
      </w:pPr>
      <w:r>
        <w:rPr>
          <w:rFonts w:ascii="Arial" w:cs="Arial" w:eastAsia="Arial" w:hAnsi="Arial"/>
          <w:sz w:val="22"/>
          <w:szCs w:val="22"/>
        </w:rPr>
        <w:t xml:space="preserve">Authentication deferred from Phase 5 to Phase 6 (Supabase auth migration).</w:t>
      </w:r>
    </w:p>
    <w:p>
      <w:pPr>
        <w:pStyle w:val="ListParagraph"/>
        <w:numPr>
          <w:ilvl w:val="0"/>
          <w:numId w:val="2"/>
        </w:numPr>
        <w:spacing w:after="80"/>
      </w:pPr>
      <w:r>
        <w:rPr>
          <w:rFonts w:ascii="Arial" w:cs="Arial" w:eastAsia="Arial" w:hAnsi="Arial"/>
          <w:sz w:val="22"/>
          <w:szCs w:val="22"/>
        </w:rPr>
        <w:t xml:space="preserve">Supabase self-healing migration added: phaseMigrateWishlist() runs on every page load.</w:t>
      </w:r>
    </w:p>
    <w:p>
      <w:pPr>
        <w:pStyle w:val="ListParagraph"/>
        <w:numPr>
          <w:ilvl w:val="0"/>
          <w:numId w:val="2"/>
        </w:numPr>
        <w:spacing w:after="80"/>
      </w:pPr>
      <w:r>
        <w:rPr>
          <w:rFonts w:ascii="Arial" w:cs="Arial" w:eastAsia="Arial" w:hAnsi="Arial"/>
          <w:sz w:val="22"/>
          <w:szCs w:val="22"/>
        </w:rPr>
        <w:t xml:space="preserve">getCalWeek() year-rollover bug fixed: model Wk 31 now correctly returns Cal Wk 53.</w:t>
      </w:r>
    </w:p>
    <w:p>
      <w:pPr>
        <w:spacing w:after="120"/>
      </w:pPr>
      <w:r>
        <w:t xml:space="preserve"/>
      </w:r>
    </w:p>
    <w:p>
      <w:pPr>
        <w:pBdr>
          <w:bottom w:val="single" w:color="2E74B5" w:sz="4" w:space="1"/>
        </w:pBdr>
        <w:spacing w:after="200"/>
      </w:pPr>
      <w:r>
        <w:t xml:space="preserve"/>
      </w:r>
    </w:p>
    <w:p>
      <w:pPr>
        <w:pStyle w:val="Heading1"/>
      </w:pPr>
      <w:r>
        <w:rPr>
          <w:rFonts w:ascii="Arial" w:cs="Arial" w:eastAsia="Arial" w:hAnsi="Arial"/>
          <w:b/>
          <w:bCs/>
          <w:color w:val="1F3864"/>
          <w:sz w:val="28"/>
          <w:szCs w:val="28"/>
        </w:rPr>
        <w:t xml:space="preserve">Notes and Standing Rules</w:t>
      </w:r>
    </w:p>
    <w:p>
      <w:pPr>
        <w:spacing w:after="120"/>
      </w:pPr>
      <w:r>
        <w:rPr>
          <w:rFonts w:ascii="Arial" w:cs="Arial" w:eastAsia="Arial" w:hAnsi="Arial"/>
          <w:sz w:val="22"/>
          <w:szCs w:val="22"/>
        </w:rPr>
        <w:t xml:space="preserve">Calendar week convention: all week references in the Financial OS use ISO calendar week numbers (e.g., Wk 24 = Jun 8–14, 2026). The 31-week model runs Wk 23 (Jun 7) through Wk 53 (Jan 9, 2027).</w:t>
      </w:r>
    </w:p>
    <w:p>
      <w:pPr>
        <w:spacing w:after="120"/>
      </w:pPr>
      <w:r>
        <w:t xml:space="preserve"/>
      </w:r>
    </w:p>
    <w:p>
      <w:pPr>
        <w:spacing w:after="120"/>
      </w:pPr>
      <w:r>
        <w:rPr>
          <w:rFonts w:ascii="Arial" w:cs="Arial" w:eastAsia="Arial" w:hAnsi="Arial"/>
          <w:sz w:val="22"/>
          <w:szCs w:val="22"/>
        </w:rPr>
        <w:t xml:space="preserve">Do not apply these changes directly to the Google Doc source yet. Review this memo against the live document, confirm section mappings, then edit.</w:t>
      </w:r>
    </w:p>
    <w:p>
      <w:pPr>
        <w:spacing w:after="120"/>
      </w:pPr>
      <w:r>
        <w:t xml:space="preserve"/>
      </w:r>
    </w:p>
    <w:p>
      <w:pPr>
        <w:spacing w:after="120"/>
      </w:pPr>
      <w:r>
        <w:rPr>
          <w:rFonts w:ascii="Arial" w:cs="Arial" w:eastAsia="Arial" w:hAnsi="Arial"/>
          <w:i/>
          <w:iCs/>
          <w:color w:val="888888"/>
          <w:sz w:val="22"/>
          <w:szCs w:val="22"/>
        </w:rPr>
        <w:t xml:space="preserve">When v2.3 is published: update the version field on the document cover page and add a one-line entry to the revision history table at the front of the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AAAAAA"/>
        <w:sz w:val="16"/>
        <w:szCs w:val="16"/>
      </w:rPr>
      <w:t xml:space="preserve">Confidential — Adam Herndon — Jabian Consulting</w:t>
    </w:r>
    <w:r>
      <w:rPr>
        <w:rFonts w:ascii="Arial" w:cs="Arial" w:eastAsia="Arial" w:hAnsi="Arial"/>
        <w:sz w:val="16"/>
        <w:szCs w:val="16"/>
      </w:rP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026"/>
      </w:tabs>
    </w:pPr>
    <w:r>
      <w:rPr>
        <w:rFonts w:ascii="Arial" w:cs="Arial" w:eastAsia="Arial" w:hAnsi="Arial"/>
        <w:color w:val="888888"/>
        <w:sz w:val="18"/>
        <w:szCs w:val="18"/>
      </w:rPr>
      <w:t xml:space="preserve">Herndon Family Financial OS  |  </w:t>
    </w:r>
    <w:r>
      <w:rPr>
        <w:rFonts w:ascii="Arial" w:cs="Arial" w:eastAsia="Arial" w:hAnsi="Arial"/>
        <w:b/>
        <w:bCs/>
        <w:color w:val="888888"/>
        <w:sz w:val="18"/>
        <w:szCs w:val="18"/>
      </w:rPr>
      <w:t xml:space="preserve">Financial Operating Reference  v2.2 → v2.3 Change Memo</w:t>
    </w:r>
    <w:r>
      <w:rPr>
        <w:rFonts w:ascii="Arial" w:cs="Arial" w:eastAsia="Arial" w:hAnsi="Arial"/>
        <w:sz w:val="18"/>
        <w:szCs w:val="18"/>
      </w:rPr>
      <w:t xml:space="preserve">	</w:t>
    </w:r>
    <w:r>
      <w:rPr>
        <w:rFonts w:ascii="Arial" w:cs="Arial" w:eastAsia="Arial" w:hAnsi="Arial"/>
        <w:color w:val="888888"/>
        <w:sz w:val="18"/>
        <w:szCs w:val="18"/>
      </w:rPr>
      <w:t xml:space="preserve">DRAFT — Wk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2026-06-15T13:01:40.923Z</dcterms:created>
  <dcterms:modified xsi:type="dcterms:W3CDTF">2026-06-15T13:01:40.923Z</dcterms:modified>
</cp:coreProperties>
</file>

<file path=docProps/custom.xml><?xml version="1.0" encoding="utf-8"?>
<Properties xmlns="http://schemas.openxmlformats.org/officeDocument/2006/custom-properties" xmlns:vt="http://schemas.openxmlformats.org/officeDocument/2006/docPropsVTypes"/>
</file>