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Walter</w:t>
      </w:r>
    </w:p>
    <w:p>
      <w:pPr>
        <w:jc w:val="center"/>
      </w:pPr>
      <w:r>
        <w:rPr>
          <w:i w:val="0"/>
        </w:rPr>
        <w:t>442.413.3407x112 | murrayleslie@yahoo.com | https://melissawalter.portfolio | Adkinsville, PR</w:t>
      </w:r>
    </w:p>
    <w:p>
      <w:pPr>
        <w:jc w:val="center"/>
      </w:pPr>
      <w:r>
        <w:rPr>
          <w:i w:val="0"/>
        </w:rPr>
        <w:t>Height: 6'6" | Weight: 195 lbs | Hair: Brown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“Balanced even-keeled Local Area Network” – Griffith PLC, 2023</w:t>
      </w:r>
    </w:p>
    <w:p>
      <w:pPr>
        <w:pStyle w:val="ListBullet"/>
      </w:pPr>
      <w:r>
        <w:t>Theater: Financial at Garner-Murphy Theatre, 2019</w:t>
      </w:r>
    </w:p>
    <w:p>
      <w:pPr>
        <w:pStyle w:val="ListBullet"/>
      </w:pPr>
      <w:r>
        <w:t>Commercial: Interview – Nelson, Smith and Flores, 2023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