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Devon Anderson</w:t>
      </w:r>
    </w:p>
    <w:p>
      <w:pPr>
        <w:jc w:val="center"/>
      </w:pPr>
      <w:r>
        <w:rPr>
          <w:i w:val="0"/>
        </w:rPr>
        <w:t>001-239-451-1679x8747 | oashley@yahoo.com | https://devonanderson.portfolio | East Deborahtown, MI</w:t>
      </w:r>
    </w:p>
    <w:p>
      <w:pPr>
        <w:jc w:val="center"/>
      </w:pPr>
      <w:r>
        <w:rPr>
          <w:i w:val="0"/>
        </w:rPr>
        <w:t>Height: 6'2" | Weight: 171 lbs | Hair: Black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“Multi-lateral client-server standardization” – Wilson, Perry and Mcdonald, 2023</w:t>
      </w:r>
    </w:p>
    <w:p>
      <w:pPr>
        <w:pStyle w:val="ListBullet"/>
      </w:pPr>
      <w:r>
        <w:t>Theater: Enjoy at Taylor-Roberts Theatre, 2023</w:t>
      </w:r>
    </w:p>
    <w:p>
      <w:pPr>
        <w:pStyle w:val="ListBullet"/>
      </w:pPr>
      <w:r>
        <w:t>Commercial: Real – House, Watson and Martin,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