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Rita Taylor</w:t>
      </w:r>
    </w:p>
    <w:p>
      <w:pPr>
        <w:jc w:val="center"/>
      </w:pPr>
      <w:r>
        <w:rPr>
          <w:i w:val="0"/>
        </w:rPr>
        <w:t>963-349-6713x54704 | richardtaylor@yahoo.com | https://ritataylor.film | Port Carlshire, TX</w:t>
      </w:r>
    </w:p>
    <w:p>
      <w:pPr>
        <w:jc w:val="center"/>
      </w:pPr>
      <w:r>
        <w:rPr>
          <w:i w:val="0"/>
        </w:rPr>
        <w:t>Height: 6'5" | Weight: 129 lbs | Hair: Grey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“Self-enabling encompassing access” – Williams, Edwards and Weiss, 2020</w:t>
      </w:r>
    </w:p>
    <w:p>
      <w:pPr>
        <w:pStyle w:val="ListBullet"/>
      </w:pPr>
      <w:r>
        <w:t>Theater: Face at Armstrong-Owens Theatre, 2021</w:t>
      </w:r>
    </w:p>
    <w:p>
      <w:pPr>
        <w:pStyle w:val="ListBullet"/>
      </w:pPr>
      <w:r>
        <w:t>Commercial: With – Liu, Cortez and Morris,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