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Farley</w:t>
      </w:r>
    </w:p>
    <w:p>
      <w:pPr>
        <w:jc w:val="center"/>
      </w:pPr>
      <w:r>
        <w:rPr>
          <w:i w:val="0"/>
        </w:rPr>
        <w:t>001-719-531-1831x259 | theresahall@hotmail.com | https://joshuafarley.portfolio | Williamsville, KY</w:t>
      </w:r>
    </w:p>
    <w:p>
      <w:pPr>
        <w:jc w:val="center"/>
      </w:pPr>
      <w:r>
        <w:rPr>
          <w:i w:val="0"/>
        </w:rPr>
        <w:t>Height: 6'11" | Weight: 130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“Integrated value-added definition” – Johnson Ltd, 2021</w:t>
      </w:r>
    </w:p>
    <w:p>
      <w:pPr>
        <w:pStyle w:val="ListBullet"/>
      </w:pPr>
      <w:r>
        <w:t>Theater: Even at Buckley, Morales and Brown Theatre, 2021</w:t>
      </w:r>
    </w:p>
    <w:p>
      <w:pPr>
        <w:pStyle w:val="ListBullet"/>
      </w:pPr>
      <w:r>
        <w:t>Commercial: Manager – Russell, Weaver and Brown,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