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Vargas</w:t>
      </w:r>
    </w:p>
    <w:p>
      <w:pPr>
        <w:jc w:val="center"/>
      </w:pPr>
      <w:r>
        <w:rPr>
          <w:i w:val="0"/>
        </w:rPr>
        <w:t>(211)658-2215x07153 | sharon58@hotmail.com | https://amandavargas.film | Luceroport, WI</w:t>
      </w:r>
    </w:p>
    <w:p>
      <w:pPr>
        <w:jc w:val="center"/>
      </w:pPr>
      <w:r>
        <w:rPr>
          <w:i w:val="0"/>
        </w:rPr>
        <w:t>Height: 6'0" | Weight: 183 lbs | Hair: Black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“Switchable analyzing website” – Brown-Lewis, 2022</w:t>
      </w:r>
    </w:p>
    <w:p>
      <w:pPr>
        <w:pStyle w:val="ListBullet"/>
      </w:pPr>
      <w:r>
        <w:t>Theater: Standard at Horton, Mitchell and Rocha Theatre, 2019</w:t>
      </w:r>
    </w:p>
    <w:p>
      <w:pPr>
        <w:pStyle w:val="ListBullet"/>
      </w:pPr>
      <w:r>
        <w:t>Commercial: Then – Horn-Simmons, 2025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