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Courtney Jordan MD</w:t>
      </w:r>
    </w:p>
    <w:p>
      <w:pPr>
        <w:jc w:val="center"/>
      </w:pPr>
      <w:r>
        <w:rPr>
          <w:i w:val="0"/>
        </w:rPr>
        <w:t>(602)585-1171 | campbellmichael@gmail.com | https://courtneyjordanmd.film | Thomasberg, PA</w:t>
      </w:r>
    </w:p>
    <w:p>
      <w:pPr>
        <w:jc w:val="center"/>
      </w:pPr>
      <w:r>
        <w:rPr>
          <w:i w:val="0"/>
        </w:rPr>
        <w:t>Height: 6'3" | Weight: 198 lbs | Hair: Red | Eyes: Hazel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“Ameliorated coherent knowledgebase” – Kennedy-Ashley, 2024</w:t>
      </w:r>
    </w:p>
    <w:p>
      <w:pPr>
        <w:pStyle w:val="ListBullet"/>
      </w:pPr>
      <w:r>
        <w:t>Theater: Memory at Perez Ltd Theatre, 2022</w:t>
      </w:r>
    </w:p>
    <w:p>
      <w:pPr>
        <w:pStyle w:val="ListBullet"/>
      </w:pPr>
      <w:r>
        <w:t>Commercial: Bar – Armstrong, Campos and Hoover, 2024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