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Morris</w:t>
      </w:r>
    </w:p>
    <w:p>
      <w:pPr>
        <w:jc w:val="center"/>
      </w:pPr>
      <w:r>
        <w:rPr>
          <w:i w:val="0"/>
        </w:rPr>
        <w:t>422.309.8025 | pauldean@gmail.com | https://kimberlymorris.film | West James, ID</w:t>
      </w:r>
    </w:p>
    <w:p>
      <w:pPr>
        <w:jc w:val="center"/>
      </w:pPr>
      <w:r>
        <w:rPr>
          <w:i w:val="0"/>
        </w:rPr>
        <w:t>Height: 5'9" | Weight: 216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“Compatible neutral algorithm” – Ali, Rose and Avila, 2024</w:t>
      </w:r>
    </w:p>
    <w:p>
      <w:pPr>
        <w:pStyle w:val="ListBullet"/>
      </w:pPr>
      <w:r>
        <w:t>Theater: Town at Franco-Webb Theatre, 2020</w:t>
      </w:r>
    </w:p>
    <w:p>
      <w:pPr>
        <w:pStyle w:val="ListBullet"/>
      </w:pPr>
      <w:r>
        <w:t>Commercial: Operation – Gutierrez, Hunter and Nelson,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