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Darryl Kennedy</w:t>
      </w:r>
    </w:p>
    <w:p>
      <w:pPr>
        <w:jc w:val="center"/>
      </w:pPr>
      <w:r>
        <w:rPr>
          <w:i w:val="0"/>
        </w:rPr>
        <w:t>899-323-6071x06745 | clarkjeffrey@yahoo.com | https://darrylkennedy.film | Jeffreyside, GU</w:t>
      </w:r>
    </w:p>
    <w:p>
      <w:pPr>
        <w:jc w:val="center"/>
      </w:pPr>
      <w:r>
        <w:rPr>
          <w:i w:val="0"/>
        </w:rPr>
        <w:t>Height: 6'2" | Weight: 184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“Cross-group incremental instruction set” – Kim, Fowler and White, 2021</w:t>
      </w:r>
    </w:p>
    <w:p>
      <w:pPr>
        <w:pStyle w:val="ListBullet"/>
      </w:pPr>
      <w:r>
        <w:t>Theater: Camera at Martinez, Goodwin and Bush Theatre, 2025</w:t>
      </w:r>
    </w:p>
    <w:p>
      <w:pPr>
        <w:pStyle w:val="ListBullet"/>
      </w:pPr>
      <w:r>
        <w:t>Commercial: Report – Bartlett, Lane and Blackburn,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