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Brown</w:t>
      </w:r>
    </w:p>
    <w:p>
      <w:pPr>
        <w:jc w:val="center"/>
      </w:pPr>
      <w:r>
        <w:rPr>
          <w:i w:val="0"/>
        </w:rPr>
        <w:t>682-959-4590x001 | stacyshaw@yahoo.com | https://rebeccabrown.film | Anthonyfort, MS</w:t>
      </w:r>
    </w:p>
    <w:p>
      <w:pPr>
        <w:jc w:val="center"/>
      </w:pPr>
      <w:r>
        <w:rPr>
          <w:i w:val="0"/>
        </w:rPr>
        <w:t>Height: 5'0" | Weight: 186 lbs | Hair: Red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“Optimized client-driven artificial intelligence” – Williamson-Gibson, 2023</w:t>
      </w:r>
    </w:p>
    <w:p>
      <w:pPr>
        <w:pStyle w:val="ListBullet"/>
      </w:pPr>
      <w:r>
        <w:t>Theater: National at Miller LLC Theatre, 2023</w:t>
      </w:r>
    </w:p>
    <w:p>
      <w:pPr>
        <w:pStyle w:val="ListBullet"/>
      </w:pPr>
      <w:r>
        <w:t>Commercial: Lawyer – Oliver, Harris and Jimenez,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