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Kelly</w:t>
      </w:r>
    </w:p>
    <w:p>
      <w:pPr>
        <w:jc w:val="center"/>
      </w:pPr>
      <w:r>
        <w:rPr>
          <w:i w:val="0"/>
        </w:rPr>
        <w:t>001-236-433-2032x036 | josephbartlett@yahoo.com | https://alexkelly.com | Christyport, VI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“Target User-Centric Schemas” – Salazar Ltd,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