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Brenda Kelly</w:t>
      </w:r>
    </w:p>
    <w:p>
      <w:pPr>
        <w:jc w:val="center"/>
      </w:pPr>
      <w:r>
        <w:rPr>
          <w:i w:val="0"/>
        </w:rPr>
        <w:t>001-747-948-3239 | trannicole@yahoo.com | https://brendakelly.com | Carrollfort, KS</w:t>
      </w:r>
    </w:p>
    <w:p>
      <w:pPr>
        <w:jc w:val="center"/>
      </w:pPr>
      <w:r>
        <w:rPr>
          <w:i w:val="0"/>
        </w:rPr>
        <w:t>Height: 6'6" | Weight: 164 lbs | Hair: Black | Eyes: Blue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“Fully-configurable motivating budgetary management” – Klein-Dalton, 2024</w:t>
      </w:r>
    </w:p>
    <w:p>
      <w:pPr>
        <w:pStyle w:val="ListBullet"/>
      </w:pPr>
      <w:r>
        <w:t>Theater: Building at Wheeler, Farmer and Stanton Theatre, 2022</w:t>
      </w:r>
    </w:p>
    <w:p>
      <w:pPr>
        <w:pStyle w:val="ListBullet"/>
      </w:pPr>
      <w:r>
        <w:t>Commercial: Star – Smith PLC, 2024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