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Alec Alvarez</w:t>
      </w:r>
    </w:p>
    <w:p>
      <w:pPr>
        <w:jc w:val="center"/>
      </w:pPr>
      <w:r>
        <w:rPr>
          <w:i w:val="0"/>
        </w:rPr>
        <w:t>407.470.0015x48623 | rodneymcknight@gmail.com | https://alecalvarez.film | Marshallside, DE</w:t>
      </w:r>
    </w:p>
    <w:p>
      <w:pPr>
        <w:jc w:val="center"/>
      </w:pPr>
      <w:r>
        <w:rPr>
          <w:i w:val="0"/>
        </w:rPr>
        <w:t>Height: 5'0" | Weight: 216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“Visionary optimizing moratorium” – Mcbride Inc, 2023</w:t>
      </w:r>
    </w:p>
    <w:p>
      <w:pPr>
        <w:pStyle w:val="ListBullet"/>
      </w:pPr>
      <w:r>
        <w:t>Theater: Pattern at Chavez PLC Theatre, 2023</w:t>
      </w:r>
    </w:p>
    <w:p>
      <w:pPr>
        <w:pStyle w:val="ListBullet"/>
      </w:pPr>
      <w:r>
        <w:t>Commercial: Forget – Harris Group,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