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Glenn Russell</w:t>
      </w:r>
    </w:p>
    <w:p>
      <w:pPr>
        <w:jc w:val="center"/>
      </w:pPr>
      <w:r>
        <w:rPr>
          <w:i w:val="0"/>
        </w:rPr>
        <w:t>421.327.3754x36276 | hillchad@gmail.com | https://glennrussell.film | Kimfurt, FL</w:t>
      </w:r>
    </w:p>
    <w:p>
      <w:pPr>
        <w:jc w:val="center"/>
      </w:pPr>
      <w:r>
        <w:rPr>
          <w:i w:val="0"/>
        </w:rPr>
        <w:t>Height: 5'10" | Weight: 171 lbs | Hair: Brown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“Reactive attitude-oriented hardware” – Robinson, Roberts and Gonzalez, 2021</w:t>
      </w:r>
    </w:p>
    <w:p>
      <w:pPr>
        <w:pStyle w:val="ListBullet"/>
      </w:pPr>
      <w:r>
        <w:t>Theater: Soldier at Martinez, Spencer and Fitzpatrick Theatre, 2024</w:t>
      </w:r>
    </w:p>
    <w:p>
      <w:pPr>
        <w:pStyle w:val="ListBullet"/>
      </w:pPr>
      <w:r>
        <w:t>Commercial: Great – Webb LLC, 2025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