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Rachel Thomas</w:t>
      </w:r>
    </w:p>
    <w:p>
      <w:pPr>
        <w:jc w:val="center"/>
      </w:pPr>
      <w:r>
        <w:rPr>
          <w:i w:val="0"/>
        </w:rPr>
        <w:t>317-725-9155x158 | brookssophia@yahoo.com | https://rachelthomas.film | Jacksonhaven, FL</w:t>
      </w:r>
    </w:p>
    <w:p>
      <w:pPr>
        <w:jc w:val="center"/>
      </w:pPr>
      <w:r>
        <w:rPr>
          <w:i w:val="0"/>
        </w:rPr>
        <w:t>Height: 6'4" | Weight: 203 lbs | Hair: Grey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“Fully-configurable 6thgeneration model” – Davis and Sons, 2021</w:t>
      </w:r>
    </w:p>
    <w:p>
      <w:pPr>
        <w:pStyle w:val="ListBullet"/>
      </w:pPr>
      <w:r>
        <w:t>Theater: Particular at Mclean, Jensen and Lucas Theatre, 2020</w:t>
      </w:r>
    </w:p>
    <w:p>
      <w:pPr>
        <w:pStyle w:val="ListBullet"/>
      </w:pPr>
      <w:r>
        <w:t>Commercial: Claim – Thomas, Vazquez and Ramirez,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