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Bell</w:t>
      </w:r>
    </w:p>
    <w:p>
      <w:pPr>
        <w:jc w:val="center"/>
      </w:pPr>
      <w:r>
        <w:rPr>
          <w:i w:val="0"/>
        </w:rPr>
        <w:t>(529)490-8424x85492 | warrenryan@gmail.com | https://nathanbell.film | Maldonadoburgh, NC</w:t>
      </w:r>
    </w:p>
    <w:p>
      <w:pPr>
        <w:jc w:val="center"/>
      </w:pPr>
      <w:r>
        <w:rPr>
          <w:i w:val="0"/>
        </w:rPr>
        <w:t>Height: 5'4" | Weight: 139 lbs | Hair: Blonde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“Optimized cohesive infrastructure” – Bryant, Hansen and Lee, 2024</w:t>
      </w:r>
    </w:p>
    <w:p>
      <w:pPr>
        <w:pStyle w:val="ListBullet"/>
      </w:pPr>
      <w:r>
        <w:t>Theater: Within at Chan, Smith and Johnson Theatre, 2025</w:t>
      </w:r>
    </w:p>
    <w:p>
      <w:pPr>
        <w:pStyle w:val="ListBullet"/>
      </w:pPr>
      <w:r>
        <w:t>Commercial: From – Montgomery-Reed,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