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Smith</w:t>
      </w:r>
    </w:p>
    <w:p>
      <w:pPr>
        <w:jc w:val="center"/>
      </w:pPr>
      <w:r>
        <w:rPr>
          <w:i w:val="0"/>
        </w:rPr>
        <w:t>(221)328-1697x96416 | aaron85@gmail.com | https://erinsmith.portfolio | Hartmanborough, UT</w:t>
      </w:r>
    </w:p>
    <w:p>
      <w:pPr>
        <w:jc w:val="center"/>
      </w:pPr>
      <w:r>
        <w:rPr>
          <w:i w:val="0"/>
        </w:rPr>
        <w:t>Height: 5'6" | Weight: 149 lbs | Hair: Blonde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“Centralized optimizing structure” – Burch PLC, 2025</w:t>
      </w:r>
    </w:p>
    <w:p>
      <w:pPr>
        <w:pStyle w:val="ListBullet"/>
      </w:pPr>
      <w:r>
        <w:t>Theater: Drive at Reyes, Maddox and Green Theatre, 2018</w:t>
      </w:r>
    </w:p>
    <w:p>
      <w:pPr>
        <w:pStyle w:val="ListBullet"/>
      </w:pPr>
      <w:r>
        <w:t>Commercial: Account – Yang, Patton and Martinez, 2021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