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Chelsea Smith</w:t>
      </w:r>
    </w:p>
    <w:p>
      <w:pPr>
        <w:jc w:val="center"/>
      </w:pPr>
      <w:r>
        <w:rPr>
          <w:i w:val="0"/>
        </w:rPr>
        <w:t>648.517.8178x4354 | jared06@hotmail.com | https://chelseasmith.com | Walkerside, SD</w:t>
      </w:r>
    </w:p>
    <w:p>
      <w:pPr>
        <w:jc w:val="center"/>
      </w:pPr>
      <w:r>
        <w:rPr>
          <w:i w:val="0"/>
        </w:rPr>
        <w:t>Height: 5'10" | Weight: 184 lbs | Hair: Grey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“Team-oriented national infrastructure” – Jackson, Bryant and Chavez, 2025</w:t>
      </w:r>
    </w:p>
    <w:p>
      <w:pPr>
        <w:pStyle w:val="ListBullet"/>
      </w:pPr>
      <w:r>
        <w:t>Theater: Here at Burgess Ltd Theatre, 2021</w:t>
      </w:r>
    </w:p>
    <w:p>
      <w:pPr>
        <w:pStyle w:val="ListBullet"/>
      </w:pPr>
      <w:r>
        <w:t>Commercial: Southern – White-Cummings,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