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Parks</w:t>
      </w:r>
    </w:p>
    <w:p>
      <w:pPr>
        <w:jc w:val="center"/>
      </w:pPr>
      <w:r>
        <w:rPr>
          <w:i w:val="0"/>
        </w:rPr>
        <w:t>001-748-355-3015x7059 | zwright@yahoo.com | https://justinparks.com | Woodtown, FM</w:t>
      </w:r>
    </w:p>
    <w:p>
      <w:pPr>
        <w:jc w:val="center"/>
      </w:pPr>
      <w:r>
        <w:rPr>
          <w:i w:val="0"/>
        </w:rPr>
        <w:t>Height: 5'1" | Weight: 154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“Exclusive stable interface” – Evans LLC, 2022</w:t>
      </w:r>
    </w:p>
    <w:p>
      <w:pPr>
        <w:pStyle w:val="ListBullet"/>
      </w:pPr>
      <w:r>
        <w:t>Theater: Different at Perez, Diaz and Walker Theatre, 2019</w:t>
      </w:r>
    </w:p>
    <w:p>
      <w:pPr>
        <w:pStyle w:val="ListBullet"/>
      </w:pPr>
      <w:r>
        <w:t>Commercial: Us – Gray, Gomez and Cohen,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