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Andrew Anderson</w:t>
      </w:r>
    </w:p>
    <w:p>
      <w:pPr>
        <w:jc w:val="center"/>
      </w:pPr>
      <w:r>
        <w:rPr>
          <w:i w:val="0"/>
        </w:rPr>
        <w:t>(650)216-8924 | watkinskatie@gmail.com | https://andrewanderson.film | Cathyport, PA</w:t>
      </w:r>
    </w:p>
    <w:p>
      <w:pPr>
        <w:jc w:val="center"/>
      </w:pPr>
      <w:r>
        <w:rPr>
          <w:i w:val="0"/>
        </w:rPr>
        <w:t>Height: 5'4" | Weight: 114 lbs | Hair: Grey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“Cross-group radical conglomeration” – Nelson, Burgess and Mckay, 2025</w:t>
      </w:r>
    </w:p>
    <w:p>
      <w:pPr>
        <w:pStyle w:val="ListBullet"/>
      </w:pPr>
      <w:r>
        <w:t>Theater: Small at Roach and Sons Theatre, 2020</w:t>
      </w:r>
    </w:p>
    <w:p>
      <w:pPr>
        <w:pStyle w:val="ListBullet"/>
      </w:pPr>
      <w:r>
        <w:t>Commercial: Today – Strong-Silva, 2021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