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Simmons</w:t>
      </w:r>
    </w:p>
    <w:p>
      <w:pPr>
        <w:jc w:val="center"/>
      </w:pPr>
      <w:r>
        <w:rPr>
          <w:i w:val="0"/>
        </w:rPr>
        <w:t>(446)784-2075x4628 | audreyduffy@yahoo.com | https://kellysimmons.portfolio | North Brian, WY</w:t>
      </w:r>
    </w:p>
    <w:p>
      <w:pPr>
        <w:jc w:val="center"/>
      </w:pPr>
      <w:r>
        <w:rPr>
          <w:i w:val="0"/>
        </w:rPr>
        <w:t>Height: 5'9" | Weight: 217 lbs | Hair: Grey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“Horizontal contextually-based alliance” – Villegas, Arnold and Franco, 2020</w:t>
      </w:r>
    </w:p>
    <w:p>
      <w:pPr>
        <w:pStyle w:val="ListBullet"/>
      </w:pPr>
      <w:r>
        <w:t>Theater: Year at Pham-Martinez Theatre, 2021</w:t>
      </w:r>
    </w:p>
    <w:p>
      <w:pPr>
        <w:pStyle w:val="ListBullet"/>
      </w:pPr>
      <w:r>
        <w:t>Commercial: Create – Moore PLC,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