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Wells</w:t>
      </w:r>
    </w:p>
    <w:p>
      <w:pPr>
        <w:jc w:val="center"/>
      </w:pPr>
      <w:r>
        <w:rPr>
          <w:i w:val="0"/>
        </w:rPr>
        <w:t>001-465-203-5957x30566 | huntercynthia@gmail.com | https://patriciawells.portfolio | Morrisland, DC</w:t>
      </w:r>
    </w:p>
    <w:p>
      <w:pPr>
        <w:jc w:val="center"/>
      </w:pPr>
      <w:r>
        <w:rPr>
          <w:i w:val="0"/>
        </w:rPr>
        <w:t>Height: 5'9" | Weight: 192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“Fully-configurable high-level open system” – Freeman-Hughes, 2020</w:t>
      </w:r>
    </w:p>
    <w:p>
      <w:pPr>
        <w:pStyle w:val="ListBullet"/>
      </w:pPr>
      <w:r>
        <w:t>Theater: Agency at Wright LLC Theatre, 2021</w:t>
      </w:r>
    </w:p>
    <w:p>
      <w:pPr>
        <w:pStyle w:val="ListBullet"/>
      </w:pPr>
      <w:r>
        <w:t>Commercial: Attorney – Roberson-Petersen,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