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Shannon Haynes</w:t>
      </w:r>
    </w:p>
    <w:p>
      <w:pPr>
        <w:jc w:val="center"/>
      </w:pPr>
      <w:r>
        <w:rPr>
          <w:i w:val="0"/>
        </w:rPr>
        <w:t>745.657.0443 | richard95@yahoo.com | https://shannonhaynes.com | East Seanport, VA</w:t>
      </w:r>
    </w:p>
    <w:p>
      <w:pPr>
        <w:jc w:val="center"/>
      </w:pPr>
      <w:r>
        <w:rPr>
          <w:i w:val="0"/>
        </w:rPr>
        <w:t>Height: 6'9" | Weight: 139 lbs | Hair: Grey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“Re-contextualized didactic approach” – Gonzalez, Gonzalez and Ryan, 2024</w:t>
      </w:r>
    </w:p>
    <w:p>
      <w:pPr>
        <w:pStyle w:val="ListBullet"/>
      </w:pPr>
      <w:r>
        <w:t>Theater: Various at Cooper, Reynolds and Coleman Theatre, 2020</w:t>
      </w:r>
    </w:p>
    <w:p>
      <w:pPr>
        <w:pStyle w:val="ListBullet"/>
      </w:pPr>
      <w:r>
        <w:t>Commercial: Factor – Taylor, Jones and Davis, 2019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