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Seth Russell</w:t>
      </w:r>
    </w:p>
    <w:p>
      <w:pPr>
        <w:jc w:val="center"/>
      </w:pPr>
      <w:r>
        <w:rPr>
          <w:i w:val="0"/>
        </w:rPr>
        <w:t>250.878.8124x53845 | gonzalezjoshua@yahoo.com | https://sethrussell.portfolio | East Patrickhaven, ND</w:t>
      </w:r>
    </w:p>
    <w:p>
      <w:pPr>
        <w:jc w:val="center"/>
      </w:pPr>
      <w:r>
        <w:rPr>
          <w:i w:val="0"/>
        </w:rPr>
        <w:t>Height: 6'8" | Weight: 114 lbs | Hair: Red | Eyes: Blue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“Programmable grid-enabled groupware” – Delgado-Carlson, 2025</w:t>
      </w:r>
    </w:p>
    <w:p>
      <w:pPr>
        <w:pStyle w:val="ListBullet"/>
      </w:pPr>
      <w:r>
        <w:t>Theater: Past at Fuller, Johnson and Vaughan Theatre, 2021</w:t>
      </w:r>
    </w:p>
    <w:p>
      <w:pPr>
        <w:pStyle w:val="ListBullet"/>
      </w:pPr>
      <w:r>
        <w:t>Commercial: Last – Allen PLC, 2023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