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Joyce Blanchard</w:t>
      </w:r>
    </w:p>
    <w:p>
      <w:pPr>
        <w:jc w:val="center"/>
      </w:pPr>
      <w:r>
        <w:rPr>
          <w:i w:val="0"/>
        </w:rPr>
        <w:t>949.736.8816x182 | bowmandavid@hotmail.com | https://joyceblanchard.com | North Melissa, WI</w:t>
      </w:r>
    </w:p>
    <w:p>
      <w:pPr>
        <w:jc w:val="center"/>
      </w:pPr>
      <w:r>
        <w:rPr>
          <w:i w:val="0"/>
        </w:rPr>
        <w:t>Height: 6'9" | Weight: 160 lbs | Hair: Brown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“Secured motivating forecast” – Martinez-Green, 2025</w:t>
      </w:r>
    </w:p>
    <w:p>
      <w:pPr>
        <w:pStyle w:val="ListBullet"/>
      </w:pPr>
      <w:r>
        <w:t>Theater: Various at Smith, Williams and Sanchez Theatre, 2023</w:t>
      </w:r>
    </w:p>
    <w:p>
      <w:pPr>
        <w:pStyle w:val="ListBullet"/>
      </w:pPr>
      <w:r>
        <w:t>Commercial: National – Robinson, Walker and Ford, 2020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