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Walker</w:t>
      </w:r>
    </w:p>
    <w:p>
      <w:pPr>
        <w:jc w:val="center"/>
      </w:pPr>
      <w:r>
        <w:rPr>
          <w:i w:val="0"/>
        </w:rPr>
        <w:t>001-503-306-5964x467 | jrandolph@hotmail.com | https://pamelawalker.film | South Kenneth, AL</w:t>
      </w:r>
    </w:p>
    <w:p>
      <w:pPr>
        <w:jc w:val="center"/>
      </w:pPr>
      <w:r>
        <w:rPr>
          <w:i w:val="0"/>
        </w:rPr>
        <w:t>Height: 6'10" | Weight: 216 lbs | Hair: Brown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“Right-sized exuding application” – Jimenez PLC, 2025</w:t>
      </w:r>
    </w:p>
    <w:p>
      <w:pPr>
        <w:pStyle w:val="ListBullet"/>
      </w:pPr>
      <w:r>
        <w:t>Theater: Time at Mckay PLC Theatre, 2023</w:t>
      </w:r>
    </w:p>
    <w:p>
      <w:pPr>
        <w:pStyle w:val="ListBullet"/>
      </w:pPr>
      <w:r>
        <w:t>Commercial: Child – Miller, Stafford and Whitney,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