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Bethany Ramirez</w:t>
      </w:r>
    </w:p>
    <w:p>
      <w:pPr>
        <w:jc w:val="center"/>
      </w:pPr>
      <w:r>
        <w:rPr>
          <w:i w:val="0"/>
        </w:rPr>
        <w:t>001-281-207-4975x2620 | christopheredwards@hotmail.com | https://bethanyramirez.portfolio | Jilltown, MS</w:t>
      </w:r>
    </w:p>
    <w:p>
      <w:pPr>
        <w:jc w:val="center"/>
      </w:pPr>
      <w:r>
        <w:rPr>
          <w:i w:val="0"/>
        </w:rPr>
        <w:t>Height: 6'4" | Weight: 208 lbs | Hair: Red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“Open-architected executive contingency” – Sharp-Romero, 2021</w:t>
      </w:r>
    </w:p>
    <w:p>
      <w:pPr>
        <w:pStyle w:val="ListBullet"/>
      </w:pPr>
      <w:r>
        <w:t>Theater: Music at Walker-Navarro Theatre, 2018</w:t>
      </w:r>
    </w:p>
    <w:p>
      <w:pPr>
        <w:pStyle w:val="ListBullet"/>
      </w:pPr>
      <w:r>
        <w:t>Commercial: Early – Bauer-Mendez, 2024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