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Crawford</w:t>
      </w:r>
    </w:p>
    <w:p>
      <w:pPr>
        <w:jc w:val="center"/>
      </w:pPr>
      <w:r>
        <w:rPr>
          <w:i w:val="0"/>
        </w:rPr>
        <w:t>+1-956-940-9496x90814 | daniel59@yahoo.com | https://davidcrawford.com | North Joshua, VT</w:t>
      </w:r>
    </w:p>
    <w:p>
      <w:pPr>
        <w:jc w:val="center"/>
      </w:pPr>
      <w:r>
        <w:rPr>
          <w:i w:val="0"/>
        </w:rPr>
        <w:t>Height: 6'0" | Weight: 167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“Multi-layered systematic Graphic Interface” – Martinez Group, 2024</w:t>
      </w:r>
    </w:p>
    <w:p>
      <w:pPr>
        <w:pStyle w:val="ListBullet"/>
      </w:pPr>
      <w:r>
        <w:t>Theater: Instead at Campbell, Brown and Garcia Theatre, 2020</w:t>
      </w:r>
    </w:p>
    <w:p>
      <w:pPr>
        <w:pStyle w:val="ListBullet"/>
      </w:pPr>
      <w:r>
        <w:t>Commercial: Sister – Morales and Sons,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