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Garcia</w:t>
      </w:r>
    </w:p>
    <w:p>
      <w:pPr>
        <w:jc w:val="center"/>
      </w:pPr>
      <w:r>
        <w:rPr>
          <w:i w:val="0"/>
        </w:rPr>
        <w:t>+1-606-257-3605x904 | qcoleman@gmail.com | https://paulgarcia.film | Lake Maryville, NH</w:t>
      </w:r>
    </w:p>
    <w:p>
      <w:pPr>
        <w:jc w:val="center"/>
      </w:pPr>
      <w:r>
        <w:rPr>
          <w:i w:val="0"/>
        </w:rPr>
        <w:t>Height: 6'10" | Weight: 159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“Multi-lateral non-volatile pricing structure” – Miller, Montgomery and Graves, 2020</w:t>
      </w:r>
    </w:p>
    <w:p>
      <w:pPr>
        <w:pStyle w:val="ListBullet"/>
      </w:pPr>
      <w:r>
        <w:t>Theater: His at Gonzalez-Chavez Theatre, 2022</w:t>
      </w:r>
    </w:p>
    <w:p>
      <w:pPr>
        <w:pStyle w:val="ListBullet"/>
      </w:pPr>
      <w:r>
        <w:t>Commercial: See – Hammond-Kelly,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