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Jackson</w:t>
      </w:r>
    </w:p>
    <w:p>
      <w:pPr>
        <w:jc w:val="center"/>
      </w:pPr>
      <w:r>
        <w:rPr>
          <w:i w:val="0"/>
        </w:rPr>
        <w:t>703.807.3568x1776 | lynchdaniel@hotmail.com | https://timothyjackson.portfolio | Johnsonport, VI</w:t>
      </w:r>
    </w:p>
    <w:p>
      <w:pPr>
        <w:jc w:val="center"/>
      </w:pPr>
      <w:r>
        <w:rPr>
          <w:i w:val="0"/>
        </w:rPr>
        <w:t>Height: 5'4" | Weight: 154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“Compatible content-based alliance” – Lindsey Group, 2020</w:t>
      </w:r>
    </w:p>
    <w:p>
      <w:pPr>
        <w:pStyle w:val="ListBullet"/>
      </w:pPr>
      <w:r>
        <w:t>Theater: Quickly at Castillo, Martin and Jackson Theatre, 2022</w:t>
      </w:r>
    </w:p>
    <w:p>
      <w:pPr>
        <w:pStyle w:val="ListBullet"/>
      </w:pPr>
      <w:r>
        <w:t>Commercial: Final – Wheeler, Ray and Golden,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