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Nathaniel Lynch</w:t>
      </w:r>
    </w:p>
    <w:p>
      <w:pPr>
        <w:jc w:val="center"/>
      </w:pPr>
      <w:r>
        <w:rPr>
          <w:i w:val="0"/>
        </w:rPr>
        <w:t>+1-628-290-5082x638 | david29@yahoo.com | https://nathaniellynch.portfolio | Williamsbury, VA</w:t>
      </w:r>
    </w:p>
    <w:p>
      <w:pPr>
        <w:jc w:val="center"/>
      </w:pPr>
      <w:r>
        <w:rPr>
          <w:i w:val="0"/>
        </w:rPr>
        <w:t>Height: 6'0" | Weight: 191 lbs | Hair: Blonde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“Cloned secondary installation” – Romero-Riley, 2024</w:t>
      </w:r>
    </w:p>
    <w:p>
      <w:pPr>
        <w:pStyle w:val="ListBullet"/>
      </w:pPr>
      <w:r>
        <w:t>Theater: Explain at Hickman and Sons Theatre, 2018</w:t>
      </w:r>
    </w:p>
    <w:p>
      <w:pPr>
        <w:pStyle w:val="ListBullet"/>
      </w:pPr>
      <w:r>
        <w:t>Commercial: Example – Burch-Jones,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