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Ortiz</w:t>
      </w:r>
    </w:p>
    <w:p>
      <w:pPr>
        <w:jc w:val="center"/>
      </w:pPr>
      <w:r>
        <w:rPr>
          <w:i w:val="0"/>
        </w:rPr>
        <w:t>620.368.4697x95353 | timothyreed@hotmail.com | https://ryanortiz.portfolio | East Tracie, KY</w:t>
      </w:r>
    </w:p>
    <w:p>
      <w:pPr>
        <w:jc w:val="center"/>
      </w:pPr>
      <w:r>
        <w:rPr>
          <w:i w:val="0"/>
        </w:rPr>
        <w:t>Height: 6'1" | Weight: 196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“Programmable global pricing structure” – Lee, Suarez and Torres, 2022</w:t>
      </w:r>
    </w:p>
    <w:p>
      <w:pPr>
        <w:pStyle w:val="ListBullet"/>
      </w:pPr>
      <w:r>
        <w:t>Theater: Never at Weaver Ltd Theatre, 2024</w:t>
      </w:r>
    </w:p>
    <w:p>
      <w:pPr>
        <w:pStyle w:val="ListBullet"/>
      </w:pPr>
      <w:r>
        <w:t>Commercial: Mouth – Hicks Group,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