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Davis</w:t>
      </w:r>
    </w:p>
    <w:p>
      <w:pPr>
        <w:jc w:val="center"/>
      </w:pPr>
      <w:r>
        <w:rPr>
          <w:i w:val="0"/>
        </w:rPr>
        <w:t>001-945-768-0158 | hayesamy@hotmail.com | https://richarddavis.com | Fergusonchester, SD</w:t>
      </w:r>
    </w:p>
    <w:p>
      <w:pPr>
        <w:jc w:val="center"/>
      </w:pPr>
      <w:r>
        <w:rPr>
          <w:i w:val="0"/>
        </w:rPr>
        <w:t>Height: 6'7" | Weight: 211 lbs | Hair: Black | Eyes: Hazel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“Cross-platform motivating artificial intelligence” – Weeks, Fitzpatrick and Valdez, 2025</w:t>
      </w:r>
    </w:p>
    <w:p>
      <w:pPr>
        <w:pStyle w:val="ListBullet"/>
      </w:pPr>
      <w:r>
        <w:t>Theater: And at Jones-Daniels Theatre, 2020</w:t>
      </w:r>
    </w:p>
    <w:p>
      <w:pPr>
        <w:pStyle w:val="ListBullet"/>
      </w:pPr>
      <w:r>
        <w:t>Commercial: Bed – Barker, Franklin and Salazar, 2025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Stage Combat/Stunts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