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Steven Cochran</w:t>
      </w:r>
    </w:p>
    <w:p>
      <w:pPr>
        <w:jc w:val="center"/>
      </w:pPr>
      <w:r>
        <w:rPr>
          <w:i w:val="0"/>
        </w:rPr>
        <w:t>+1-236-896-0679x33142 | jonathan94@gmail.com | https://stevencochran.portfolio | Hendrixside, OK</w:t>
      </w:r>
    </w:p>
    <w:p>
      <w:pPr>
        <w:pStyle w:val="Heading1"/>
      </w:pPr>
      <w:r>
        <w:t>Objective</w:t>
      </w:r>
    </w:p>
    <w:p>
      <w:r>
        <w:rPr>
          <w:i w:val="0"/>
        </w:rPr>
        <w:t>Colorist shaping mood and cohesion through calibrated grading workflows.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Color Grading Courses</w:t>
      </w:r>
    </w:p>
    <w:p>
      <w:pPr>
        <w:pStyle w:val="ListBullet"/>
      </w:pPr>
      <w:r>
        <w:t>Monitoring/Calibration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Built show LUTs and scene looks; matched multi-cam.</w:t>
      </w:r>
    </w:p>
    <w:p>
      <w:pPr>
        <w:pStyle w:val="ListBullet"/>
      </w:pPr>
      <w:r>
        <w:t>Managed SDR/HDR trims and broadcast streaming specs.</w:t>
      </w:r>
    </w:p>
    <w:p>
      <w:pPr>
        <w:pStyle w:val="ListBullet"/>
      </w:pPr>
      <w:r>
        <w:t>Collaborated with DP and director in supervised sessions.</w:t>
      </w:r>
    </w:p>
    <w:p>
      <w:pPr>
        <w:pStyle w:val="Heading1"/>
      </w:pPr>
      <w:r>
        <w:t>Skills</w:t>
      </w:r>
    </w:p>
    <w:p>
      <w:pPr>
        <w:pStyle w:val="ListBullet"/>
      </w:pPr>
      <w:r>
        <w:t>Color Mgmt/ACES</w:t>
      </w:r>
    </w:p>
    <w:p>
      <w:pPr>
        <w:pStyle w:val="ListBullet"/>
      </w:pPr>
      <w:r>
        <w:t>Deliverables</w:t>
      </w:r>
    </w:p>
    <w:p>
      <w:pPr>
        <w:pStyle w:val="ListBullet"/>
      </w:pPr>
      <w:r>
        <w:t>Grading</w:t>
      </w:r>
    </w:p>
    <w:p>
      <w:pPr>
        <w:pStyle w:val="ListBullet"/>
      </w:pPr>
      <w:r>
        <w:t>Shot Matching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