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Rachel Vazquez</w:t>
      </w:r>
    </w:p>
    <w:p>
      <w:pPr>
        <w:jc w:val="center"/>
      </w:pPr>
      <w:r>
        <w:rPr>
          <w:i w:val="0"/>
        </w:rPr>
        <w:t>(866)543-2810 | kelleybrian@gmail.com | https://rachelvazquez.portfolio | South Savannah, VA</w:t>
      </w:r>
    </w:p>
    <w:p>
      <w:pPr>
        <w:jc w:val="center"/>
      </w:pPr>
      <w:r>
        <w:rPr>
          <w:i w:val="0"/>
        </w:rPr>
        <w:t>Height: 6'1" | Weight: 171 lbs | Hair: Black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“Right-sized maximized knowledgebase” – Thomas, Nguyen and Merritt, 2023</w:t>
      </w:r>
    </w:p>
    <w:p>
      <w:pPr>
        <w:pStyle w:val="ListBullet"/>
      </w:pPr>
      <w:r>
        <w:t>Theater: Low at Young-Ferguson Theatre, 2024</w:t>
      </w:r>
    </w:p>
    <w:p>
      <w:pPr>
        <w:pStyle w:val="ListBullet"/>
      </w:pPr>
      <w:r>
        <w:t>Commercial: Case – Rivera-Horton, 2023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